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Date of Report (Date of earliest event reported): September 21,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THE TORO COMPANY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1-8649</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41-0580470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1"/>
              </w:rPr>
            </w:pPr>
            <w:r>
              <w:rPr>
                <w:rFonts w:ascii="Times New Roman;serif" w:hAnsi="Times New Roman;serif"/>
                <w:b/>
                <w:color w:val="000000"/>
                <w:sz w:val="21"/>
              </w:rPr>
              <w:t>8111 Lyndale Avenue South</w:t>
            </w:r>
          </w:p>
          <w:p>
            <w:pPr>
              <w:pStyle w:val="TableContents"/>
              <w:bidi w:val="0"/>
              <w:spacing w:lineRule="auto" w:line="240" w:before="0" w:after="0"/>
              <w:jc w:val="center"/>
              <w:rPr>
                <w:rFonts w:ascii="Times New Roman;serif" w:hAnsi="Times New Roman;serif"/>
                <w:b/>
                <w:color w:val="000000"/>
                <w:sz w:val="21"/>
              </w:rPr>
            </w:pPr>
            <w:r>
              <w:rPr>
                <w:rFonts w:ascii="Times New Roman;serif" w:hAnsi="Times New Roman;serif"/>
                <w:b/>
                <w:color w:val="000000"/>
                <w:sz w:val="21"/>
              </w:rPr>
              <w:t>Bloomington, Minnesota</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1"/>
              </w:rPr>
              <w:t>55420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60" w:after="283"/>
        <w:jc w:val="center"/>
        <w:rPr/>
      </w:pPr>
      <w:r>
        <w:rPr>
          <w:rFonts w:ascii="Times New Roman;serif" w:hAnsi="Times New Roman;serif"/>
          <w:b w:val="false"/>
          <w:color w:val="000000"/>
          <w:sz w:val="21"/>
        </w:rPr>
        <w:t xml:space="preserve">Registrant's telephone number, including area code: </w:t>
      </w:r>
      <w:r>
        <w:rPr>
          <w:rFonts w:ascii="Times New Roman;serif" w:hAnsi="Times New Roman;serif"/>
          <w:b/>
          <w:color w:val="000000"/>
          <w:sz w:val="21"/>
        </w:rPr>
        <w:t xml:space="preserve">(952) 888-8801 </w:t>
      </w:r>
    </w:p>
    <w:p>
      <w:pPr>
        <w:pStyle w:val="TextBody"/>
        <w:bidi w:val="0"/>
        <w:spacing w:lineRule="auto" w:line="288" w:before="60" w:after="283"/>
        <w:jc w:val="center"/>
        <w:rPr>
          <w:rFonts w:ascii="Times New Roman;serif" w:hAnsi="Times New Roman;serif"/>
          <w:b/>
          <w:color w:val="000000"/>
          <w:sz w:val="21"/>
        </w:rPr>
      </w:pPr>
      <w:r>
        <w:rPr>
          <w:rFonts w:ascii="Times New Roman;serif" w:hAnsi="Times New Roman;serif"/>
          <w:b/>
          <w:color w:val="000000"/>
          <w:sz w:val="21"/>
        </w:rPr>
        <w:t>Not Applicable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Securities registered pursuant to Section 12(b) of the Act:</w:t>
      </w:r>
    </w:p>
    <w:tbl>
      <w:tblPr>
        <w:tblW w:w="8382" w:type="dxa"/>
        <w:jc w:val="center"/>
        <w:tblInd w:w="0" w:type="dxa"/>
        <w:tblLayout w:type="fixed"/>
        <w:tblCellMar>
          <w:top w:w="28" w:type="dxa"/>
          <w:left w:w="28" w:type="dxa"/>
          <w:bottom w:w="28" w:type="dxa"/>
          <w:right w:w="28" w:type="dxa"/>
        </w:tblCellMar>
      </w:tblPr>
      <w:tblGrid>
        <w:gridCol w:w="1319"/>
        <w:gridCol w:w="1162"/>
        <w:gridCol w:w="1178"/>
        <w:gridCol w:w="484"/>
        <w:gridCol w:w="484"/>
        <w:gridCol w:w="486"/>
        <w:gridCol w:w="956"/>
        <w:gridCol w:w="956"/>
        <w:gridCol w:w="1357"/>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TTC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right"/>
        <w:rPr/>
      </w:pPr>
      <w:r>
        <w:rPr>
          <w:rFonts w:ascii="Times New Roman;serif" w:hAnsi="Times New Roman;serif"/>
          <w:b w:val="false"/>
          <w:color w:val="000000"/>
          <w:sz w:val="21"/>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rPr>
        <w:t>Item 5.02</w:t>
      </w:r>
      <w:r>
        <w:rPr>
          <w:color w:val="000000"/>
        </w:rPr>
        <w:t xml:space="preserve"> </w:t>
      </w:r>
      <w:r>
        <w:rPr>
          <w:rFonts w:ascii="Times New Roman;serif" w:hAnsi="Times New Roman;serif"/>
          <w:b/>
          <w:color w:val="000000"/>
          <w:sz w:val="22"/>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September 21, 2026, the Board of Directors (the “Board”) of The Toro Company (“TTC”) increased the number of directors constituting the Board from ten to eleven and elected David W. Huml to the Board and to the Audit Committee and Finance Committee of the Board, effective immediately, and serving in the class of directors with a term expiring at the 2027 annual meeting of stockholders of TTC. </w:t>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val="false"/>
          <w:color w:val="000000"/>
          <w:sz w:val="22"/>
        </w:rPr>
      </w:pPr>
      <w:r>
        <w:rPr>
          <w:rFonts w:ascii="Times New Roman;serif" w:hAnsi="Times New Roman;serif"/>
          <w:b w:val="false"/>
          <w:color w:val="000000"/>
          <w:sz w:val="22"/>
        </w:rPr>
        <w:t>In his capacity as a non-employee director, Mr. Huml will receive customary non-employee directors compensation pursuant to plans and policies applicable to non-employee members of the Board, as described in TTC’s definitive proxy statement for its most recent Annual Meeting of Stockholders held on March 17,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There are no arrangements or understandings between Mr. Huml and any other person pursuant to which he was selected as a director of TTC, and there have been no transactions since the beginning of TTC’s last fiscal year, or are currently proposed, regarding Mr. Huml that are required to be disclosed by Item 404(a) of Regulation 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Attached to this Current Report on Form 8-K as Exhibit 99.1 is the press release announcing the election of Mr. Huml to the Board.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Exhibits.</w:t>
      </w:r>
    </w:p>
    <w:tbl>
      <w:tblPr>
        <w:tblW w:w="8894" w:type="dxa"/>
        <w:jc w:val="center"/>
        <w:tblInd w:w="0" w:type="dxa"/>
        <w:tblLayout w:type="fixed"/>
        <w:tblCellMar>
          <w:top w:w="28" w:type="dxa"/>
          <w:left w:w="28" w:type="dxa"/>
          <w:bottom w:w="28" w:type="dxa"/>
          <w:right w:w="28" w:type="dxa"/>
        </w:tblCellMar>
      </w:tblPr>
      <w:tblGrid>
        <w:gridCol w:w="445"/>
        <w:gridCol w:w="391"/>
        <w:gridCol w:w="393"/>
        <w:gridCol w:w="2241"/>
        <w:gridCol w:w="2241"/>
        <w:gridCol w:w="3183"/>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No.</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mlpressrelease92126.htm">
              <w:r>
                <w:rPr>
                  <w:rStyle w:val="InternetLink"/>
                  <w:rFonts w:ascii="Times New Roman;serif" w:hAnsi="Times New Roman;serif"/>
                  <w:b w:val="false"/>
                  <w:color w:val="0000FF"/>
                  <w:sz w:val="22"/>
                  <w:u w:val="single"/>
                </w:rPr>
                <w:t>Press release dated September 21, 2026</w:t>
              </w:r>
            </w:hyperlink>
            <w:r>
              <w:rPr>
                <w:color w:val="000000"/>
              </w:rPr>
              <w:t xml:space="preserve"> </w:t>
            </w:r>
            <w:r>
              <w:rPr>
                <w:rFonts w:ascii="Times New Roman;serif" w:hAnsi="Times New Roman;serif"/>
                <w:b w:val="false"/>
                <w:color w:val="000000"/>
                <w:sz w:val="22"/>
              </w:rPr>
              <w:t>(furnished herewith).</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069" w:type="dxa"/>
        <w:jc w:val="center"/>
        <w:tblInd w:w="0" w:type="dxa"/>
        <w:tblLayout w:type="fixed"/>
        <w:tblCellMar>
          <w:top w:w="28" w:type="dxa"/>
          <w:left w:w="28" w:type="dxa"/>
          <w:bottom w:w="28" w:type="dxa"/>
          <w:right w:w="28" w:type="dxa"/>
        </w:tblCellMar>
      </w:tblPr>
      <w:tblGrid>
        <w:gridCol w:w="928"/>
        <w:gridCol w:w="816"/>
        <w:gridCol w:w="820"/>
        <w:gridCol w:w="1610"/>
        <w:gridCol w:w="1610"/>
        <w:gridCol w:w="2285"/>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TORO COMPANY</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September 21, 2026</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Joanna M. Totsky</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Joanna M. Totsky</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drawing>
          <wp:inline distT="0" distB="0" distL="0" distR="0">
            <wp:extent cx="276225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62250" cy="723900"/>
                    </a:xfrm>
                    <a:prstGeom prst="rect">
                      <a:avLst/>
                    </a:prstGeom>
                  </pic:spPr>
                </pic:pic>
              </a:graphicData>
            </a:graphic>
          </wp:inline>
        </w:drawing>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Heather Hille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Vice President, Corporate Affairs and Investor Relations</w:t>
      </w:r>
    </w:p>
    <w:p>
      <w:pPr>
        <w:pStyle w:val="TextBody"/>
        <w:bidi w:val="0"/>
        <w:spacing w:lineRule="auto" w:line="288" w:before="0" w:after="0"/>
        <w:jc w:val="both"/>
        <w:rPr/>
      </w:pPr>
      <w:r>
        <w:rPr>
          <w:rFonts w:ascii="Arial;sans-serif" w:hAnsi="Arial;sans-serif"/>
          <w:b w:val="false"/>
          <w:color w:val="000000"/>
          <w:sz w:val="20"/>
        </w:rPr>
        <w:t xml:space="preserve">(952) 887-8923, </w:t>
      </w:r>
      <w:r>
        <w:rPr>
          <w:rFonts w:ascii="Arial;sans-serif" w:hAnsi="Arial;sans-serif"/>
          <w:b w:val="false"/>
          <w:color w:val="0000FF"/>
          <w:sz w:val="20"/>
          <w:u w:val="single"/>
        </w:rPr>
        <w:t>heather.hille@toro.com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Branden Happel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Senior Manager, Public Relations</w:t>
      </w:r>
    </w:p>
    <w:p>
      <w:pPr>
        <w:pStyle w:val="TextBody"/>
        <w:bidi w:val="0"/>
        <w:spacing w:lineRule="auto" w:line="288" w:before="0" w:after="0"/>
        <w:jc w:val="both"/>
        <w:rPr/>
      </w:pPr>
      <w:r>
        <w:rPr>
          <w:rFonts w:ascii="Arial;sans-serif" w:hAnsi="Arial;sans-serif"/>
          <w:b w:val="false"/>
          <w:color w:val="000000"/>
          <w:sz w:val="20"/>
        </w:rPr>
        <w:t xml:space="preserve">(952) 887-8930, </w:t>
      </w:r>
      <w:r>
        <w:rPr>
          <w:rFonts w:ascii="Arial;sans-serif" w:hAnsi="Arial;sans-serif"/>
          <w:b w:val="false"/>
          <w:color w:val="0000FF"/>
          <w:sz w:val="20"/>
          <w:u w:val="single"/>
        </w:rPr>
        <w:t>branden.happel@toro.com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For Immediate Release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Toro Company Elects David Huml to Board of Directors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BLOOMINGTON, Minn. (September 21, 2026) – The Toro Company (NYSE: TTC), a leading global provider of solutions for the outdoor environment, today announced the election of David Huml, president and chief executive officer of Tennant Company (NYSE: TNC), to its Board of Directors, effective immediately.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We are pleased to welcome Dave to The Toro Company’s Board of Directors,” said Richard Olson, chairman and chief executive officer of The Toro Company. “His broad leadership experience in global marketing, operations and product management, paired with his expertise in robotics and smart-connected technologies, will bring valuable perspective to our Board. We look forward to his contributions as we continue to advance our strategic vision and create long-term value for our customers and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Tennant is a global leader of solutions that helps create a cleaner, safer and healthier world. As president and chief executive officer, Huml also serves on its Board of Directors. Throughout his 12-year career at Tennant, he has served as chief operating officer, senior vice president for the APAC and EMEA businesses, and senior vice president of global marketing. Before joining Tennant, Huml held several executive leadership positions with Pentair plc, a leading manufacturer of water and fluid solutions, values and controls. Huml received a Bachelor of Arts in business management and marketing from Wittenberg University, and an MBA from the University of Minnesota – Carlson School of Management.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The Toro Company</w:t>
      </w:r>
    </w:p>
    <w:p>
      <w:pPr>
        <w:pStyle w:val="TextBody"/>
        <w:bidi w:val="0"/>
        <w:spacing w:lineRule="auto" w:line="288" w:before="0" w:after="0"/>
        <w:jc w:val="left"/>
        <w:rPr/>
      </w:pPr>
      <w:r>
        <w:rPr>
          <w:rFonts w:ascii="Arial;sans-serif" w:hAnsi="Arial;sans-serif"/>
          <w:b w:val="false"/>
          <w:color w:val="000000"/>
          <w:sz w:val="22"/>
        </w:rPr>
        <w:t>The Toro Company (NYSE: TTC) is a leading global provider of solutions for the outdoor environment including turf and landscape maintenance, snow and ice management, underground construction, rental and specialty construction, and irrigation and outdoor lighting solutions. With net sales of $4.5 billion in fiscal 2025, The Toro Company’s global presence extends to more than 125 countries through a family of brands that includes Toro, Ditch Witch, Exmark, BOSS, Ventrac, Tornado, HammerHead, American Augers, Spartan, Subsite, Radius, Hayter, Perrot,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sans-serif" w:hAnsi="Arial;sans-serif"/>
          <w:b w:val="false"/>
          <w:color w:val="0000FF"/>
          <w:sz w:val="22"/>
          <w:u w:val="single"/>
        </w:rPr>
        <w:t>www.thetorocompany.com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jc w:val="center"/>
        <w:rPr>
          <w:rFonts w:ascii="Aptos;sans-serif" w:hAnsi="Aptos;sans-serif"/>
          <w:b w:val="false"/>
          <w:color w:val="000000"/>
          <w:sz w:val="24"/>
        </w:rPr>
      </w:pPr>
      <w:r>
        <w:rPr>
          <w:rFonts w:ascii="Aptos;sans-serif" w:hAnsi="Aptos;sans-serif"/>
          <w:b w:val="false"/>
          <w:color w:val="000000"/>
          <w:sz w:val="24"/>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1007</Words>
  <Characters>5705</Characters>
  <CharactersWithSpaces>6650</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