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436245</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394970</wp:posOffset>
            </wp:positionV>
            <wp:extent cx="68046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66" w:lineRule="exact"/>
        <w:rPr>
          <w:sz w:val="24"/>
          <w:szCs w:val="24"/>
          <w:color w:val="auto"/>
        </w:rPr>
      </w:pPr>
    </w:p>
    <w:p>
      <w:pPr>
        <w:ind w:left="2040" w:hanging="300"/>
        <w:spacing w:after="0"/>
        <w:tabs>
          <w:tab w:leader="none" w:pos="20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February 2, 2024</w:t>
      </w:r>
    </w:p>
    <w:p>
      <w:pPr>
        <w:spacing w:after="0" w:line="248" w:lineRule="exact"/>
        <w:rPr>
          <w:sz w:val="24"/>
          <w:szCs w:val="24"/>
          <w:color w:val="auto"/>
        </w:rPr>
      </w:pPr>
    </w:p>
    <w:p>
      <w:pPr>
        <w:ind w:left="2040" w:hanging="335"/>
        <w:spacing w:after="0"/>
        <w:tabs>
          <w:tab w:leader="none" w:pos="20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44" w:lineRule="exact"/>
        <w:rPr>
          <w:sz w:val="24"/>
          <w:szCs w:val="24"/>
          <w:color w:val="auto"/>
        </w:rPr>
      </w:pPr>
    </w:p>
    <w:p>
      <w:pPr>
        <w:jc w:val="right"/>
        <w:ind w:right="4400"/>
        <w:spacing w:after="0"/>
        <w:tabs>
          <w:tab w:leader="none" w:pos="31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2" w:lineRule="exact"/>
        <w:rPr>
          <w:sz w:val="24"/>
          <w:szCs w:val="24"/>
          <w:color w:val="auto"/>
        </w:rPr>
      </w:pPr>
    </w:p>
    <w:p>
      <w:pPr>
        <w:jc w:val="right"/>
        <w:ind w:right="4460"/>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b w:val="1"/>
          <w:bCs w:val="1"/>
          <w:color w:val="auto"/>
        </w:rPr>
        <w:t>1-8649</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THE TORO COMPANY</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60"/>
          </w:cols>
          <w:pgMar w:left="320" w:top="226" w:right="319" w:bottom="1440" w:gutter="0" w:footer="0" w:header="0"/>
        </w:sectPr>
      </w:pPr>
    </w:p>
    <w:p>
      <w:pPr>
        <w:spacing w:after="0" w:line="11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41-0580470</w:t>
      </w:r>
    </w:p>
    <w:p>
      <w:pPr>
        <w:spacing w:after="0" w:line="33" w:lineRule="exact"/>
        <w:rPr>
          <w:sz w:val="24"/>
          <w:szCs w:val="24"/>
          <w:color w:val="auto"/>
        </w:rPr>
      </w:pPr>
    </w:p>
    <w:p>
      <w:pPr>
        <w:sectPr>
          <w:pgSz w:w="11900" w:h="16838" w:orient="portrait"/>
          <w:cols w:equalWidth="0" w:num="2">
            <w:col w:w="8080" w:space="720"/>
            <w:col w:w="2460"/>
          </w:cols>
          <w:pgMar w:left="320" w:top="226" w:right="31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10"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371" w:lineRule="exact"/>
        <w:rPr>
          <w:sz w:val="24"/>
          <w:szCs w:val="24"/>
          <w:color w:val="auto"/>
        </w:rPr>
      </w:pPr>
    </w:p>
    <w:p>
      <w:pPr>
        <w:sectPr>
          <w:pgSz w:w="11900" w:h="16838" w:orient="portrait"/>
          <w:cols w:equalWidth="0" w:num="2">
            <w:col w:w="7420" w:space="720"/>
            <w:col w:w="3120"/>
          </w:cols>
          <w:pgMar w:left="320" w:top="226" w:right="319" w:bottom="1440" w:gutter="0" w:footer="0" w:header="0"/>
          <w:type w:val="continuous"/>
        </w:sectPr>
      </w:pPr>
    </w:p>
    <w:p>
      <w:pPr>
        <w:spacing w:after="0" w:line="13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8111 Lyndale Avenue South</w:t>
      </w:r>
    </w:p>
    <w:p>
      <w:pPr>
        <w:spacing w:after="0" w:line="3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Bloomington, Minnesota 55420-1196</w:t>
      </w:r>
    </w:p>
    <w:p>
      <w:pPr>
        <w:spacing w:after="0" w:line="1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Telephone Number: (952) 888-8801</w:t>
      </w:r>
    </w:p>
    <w:p>
      <w:pPr>
        <w:spacing w:after="0" w:line="1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94"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Name of each exchange on which registered</w:t>
            </w:r>
          </w:p>
        </w:tc>
      </w:tr>
      <w:tr>
        <w:trPr>
          <w:trHeight w:val="215"/>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par value $1.00 per share</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TTC</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New York Stock Exchange</w:t>
            </w:r>
          </w:p>
        </w:tc>
      </w:tr>
    </w:tbl>
    <w:p>
      <w:pPr>
        <w:spacing w:after="0" w:line="307"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ind w:right="20"/>
        <w:spacing w:after="0" w:line="20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20" w:type="dxa"/>
        <w:tblCellMar>
          <w:top w:w="0" w:type="dxa"/>
          <w:left w:w="0" w:type="dxa"/>
          <w:bottom w:w="0" w:type="dxa"/>
          <w:right w:w="0" w:type="dxa"/>
        </w:tblCellMar>
      </w:tblPr>
      <w:tr>
        <w:trPr>
          <w:trHeight w:val="29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67" w:lineRule="exact"/>
        <w:rPr>
          <w:sz w:val="24"/>
          <w:szCs w:val="24"/>
          <w:color w:val="auto"/>
        </w:rPr>
      </w:pPr>
    </w:p>
    <w:p>
      <w:pPr>
        <w:ind w:right="20"/>
        <w:spacing w:after="0" w:line="21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2360"/>
        <w:spacing w:after="0" w:line="20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The number of shares of the registrant’s common stock outstanding as of February 29, 2024 was 104,406,800.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709930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99060</wp:posOffset>
            </wp:positionV>
            <wp:extent cx="712152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74930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TORO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4"/>
          </w:tcPr>
          <w:p>
            <w:pPr>
              <w:ind w:left="2740"/>
              <w:spacing w:after="0"/>
              <w:rPr>
                <w:sz w:val="20"/>
                <w:szCs w:val="20"/>
                <w:color w:val="auto"/>
              </w:rPr>
            </w:pPr>
            <w:r>
              <w:rPr>
                <w:rFonts w:ascii="Times New Roman" w:cs="Times New Roman" w:eastAsia="Times New Roman" w:hAnsi="Times New Roman"/>
                <w:sz w:val="16"/>
                <w:szCs w:val="16"/>
                <w:b w:val="1"/>
                <w:bCs w:val="1"/>
                <w:color w:val="auto"/>
              </w:rPr>
              <w:t>Page Number</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5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6"/>
                <w:szCs w:val="16"/>
                <w:b w:val="1"/>
                <w:bCs w:val="1"/>
                <w:color w:val="0000FF"/>
              </w:rPr>
              <w:t>CAUTIONARY NOTE REGARDING FORWARD-LOOKING STATEMENTS</w:t>
            </w:r>
          </w:p>
        </w:tc>
        <w:tc>
          <w:tcPr>
            <w:tcW w:w="1700" w:type="dxa"/>
            <w:vAlign w:val="bottom"/>
            <w:gridSpan w:val="6"/>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0000FF"/>
                <w:w w:val="96"/>
              </w:rPr>
              <w:t>PART I.</w:t>
            </w:r>
          </w:p>
        </w:tc>
        <w:tc>
          <w:tcPr>
            <w:tcW w:w="800" w:type="dxa"/>
            <w:vAlign w:val="bottom"/>
            <w:gridSpan w:val="3"/>
          </w:tcPr>
          <w:p>
            <w:pPr>
              <w:spacing w:after="0"/>
              <w:rPr>
                <w:sz w:val="24"/>
                <w:szCs w:val="24"/>
                <w:color w:val="auto"/>
              </w:rPr>
            </w:pPr>
          </w:p>
        </w:tc>
        <w:tc>
          <w:tcPr>
            <w:tcW w:w="2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b w:val="1"/>
                <w:bCs w:val="1"/>
                <w:color w:val="0000FF"/>
              </w:rPr>
              <w:t>FINANCIAL INFORMATION:</w:t>
            </w:r>
          </w:p>
        </w:tc>
        <w:tc>
          <w:tcPr>
            <w:tcW w:w="3640" w:type="dxa"/>
            <w:vAlign w:val="bottom"/>
            <w:gridSpan w:val="12"/>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1.</w:t>
            </w:r>
          </w:p>
        </w:tc>
        <w:tc>
          <w:tcPr>
            <w:tcW w:w="880" w:type="dxa"/>
            <w:vAlign w:val="bottom"/>
            <w:gridSpan w:val="4"/>
          </w:tcPr>
          <w:p>
            <w:pPr>
              <w:spacing w:after="0"/>
              <w:rPr>
                <w:sz w:val="24"/>
                <w:szCs w:val="24"/>
                <w:color w:val="auto"/>
              </w:rPr>
            </w:pPr>
          </w:p>
        </w:tc>
        <w:tc>
          <w:tcPr>
            <w:tcW w:w="13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4500" w:type="dxa"/>
            <w:vAlign w:val="bottom"/>
            <w:gridSpan w:val="19"/>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Condensed Consolidated Statements of Earnings (Unaudited)</w:t>
            </w:r>
          </w:p>
        </w:tc>
        <w:tc>
          <w:tcPr>
            <w:tcW w:w="1540" w:type="dxa"/>
            <w:vAlign w:val="bottom"/>
            <w:gridSpan w:val="5"/>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Condensed Consolidated Statements of Comprehensive Income (Unaudited)</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Condensed Consolidated Balance Sheets (Unaudited)</w:t>
            </w:r>
          </w:p>
        </w:tc>
        <w:tc>
          <w:tcPr>
            <w:tcW w:w="1380" w:type="dxa"/>
            <w:vAlign w:val="bottom"/>
            <w:tcBorders>
              <w:top w:val="single" w:sz="8" w:color="0000FF"/>
            </w:tcBorders>
            <w:gridSpan w:val="7"/>
          </w:tcPr>
          <w:p>
            <w:pPr>
              <w:spacing w:after="0"/>
              <w:rPr>
                <w:sz w:val="24"/>
                <w:szCs w:val="24"/>
                <w:color w:val="auto"/>
              </w:rPr>
            </w:pPr>
          </w:p>
        </w:tc>
        <w:tc>
          <w:tcPr>
            <w:tcW w:w="580" w:type="dxa"/>
            <w:vAlign w:val="bottom"/>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(Unaudited)</w:t>
            </w:r>
          </w:p>
        </w:tc>
        <w:tc>
          <w:tcPr>
            <w:tcW w:w="1360" w:type="dxa"/>
            <w:vAlign w:val="bottom"/>
            <w:gridSpan w:val="4"/>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Condensed Consolidated Statements of Stockholders' Equity (Unaudited)</w:t>
            </w:r>
          </w:p>
        </w:tc>
        <w:tc>
          <w:tcPr>
            <w:tcW w:w="760" w:type="dxa"/>
            <w:vAlign w:val="bottom"/>
            <w:gridSpan w:val="2"/>
          </w:tcPr>
          <w:p>
            <w:pPr>
              <w:spacing w:after="0"/>
              <w:rPr>
                <w:sz w:val="24"/>
                <w:szCs w:val="24"/>
                <w:color w:val="auto"/>
              </w:rPr>
            </w:pPr>
          </w:p>
        </w:tc>
        <w:tc>
          <w:tcPr>
            <w:tcW w:w="386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Notes to Condensed Consolidated Financial Statements (Unaudited)</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0000FF"/>
                <w:w w:val="99"/>
              </w:rPr>
              <w:t>Item 2.</w:t>
            </w:r>
          </w:p>
        </w:tc>
        <w:tc>
          <w:tcPr>
            <w:tcW w:w="880" w:type="dxa"/>
            <w:vAlign w:val="bottom"/>
            <w:gridSpan w:val="4"/>
            <w:vMerge w:val="restart"/>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gridSpan w:val="7"/>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vMerge w:val="continue"/>
          </w:tcPr>
          <w:p>
            <w:pPr>
              <w:spacing w:after="0"/>
              <w:rPr>
                <w:sz w:val="24"/>
                <w:szCs w:val="24"/>
                <w:color w:val="auto"/>
              </w:rPr>
            </w:pPr>
          </w:p>
        </w:tc>
        <w:tc>
          <w:tcPr>
            <w:tcW w:w="880" w:type="dxa"/>
            <w:vAlign w:val="bottom"/>
            <w:gridSpan w:val="4"/>
            <w:vMerge w:val="continue"/>
          </w:tcPr>
          <w:p>
            <w:pPr>
              <w:spacing w:after="0"/>
              <w:rPr>
                <w:sz w:val="24"/>
                <w:szCs w:val="24"/>
                <w:color w:val="auto"/>
              </w:rPr>
            </w:pPr>
          </w:p>
        </w:tc>
        <w:tc>
          <w:tcPr>
            <w:tcW w:w="58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Company Overview</w:t>
            </w:r>
          </w:p>
        </w:tc>
        <w:tc>
          <w:tcPr>
            <w:tcW w:w="4240" w:type="dxa"/>
            <w:vAlign w:val="bottom"/>
            <w:gridSpan w:val="15"/>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Results of Operations</w:t>
            </w:r>
          </w:p>
        </w:tc>
        <w:tc>
          <w:tcPr>
            <w:tcW w:w="4140" w:type="dxa"/>
            <w:vAlign w:val="bottom"/>
            <w:gridSpan w:val="14"/>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Business Segments</w:t>
            </w:r>
          </w:p>
        </w:tc>
        <w:tc>
          <w:tcPr>
            <w:tcW w:w="4300" w:type="dxa"/>
            <w:vAlign w:val="bottom"/>
            <w:gridSpan w:val="17"/>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9"/>
              </w:rPr>
              <w:t>Financial Position</w:t>
            </w:r>
          </w:p>
        </w:tc>
        <w:tc>
          <w:tcPr>
            <w:tcW w:w="4380" w:type="dxa"/>
            <w:vAlign w:val="bottom"/>
            <w:gridSpan w:val="18"/>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Non-GAAP Financial Measures</w:t>
            </w:r>
          </w:p>
        </w:tc>
        <w:tc>
          <w:tcPr>
            <w:tcW w:w="3460" w:type="dxa"/>
            <w:vAlign w:val="bottom"/>
            <w:gridSpan w:val="11"/>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Critical Accounting Policies and Estimates</w:t>
            </w:r>
          </w:p>
        </w:tc>
        <w:tc>
          <w:tcPr>
            <w:tcW w:w="2760" w:type="dxa"/>
            <w:vAlign w:val="bottom"/>
            <w:gridSpan w:val="10"/>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3.</w:t>
            </w:r>
          </w:p>
        </w:tc>
        <w:tc>
          <w:tcPr>
            <w:tcW w:w="880" w:type="dxa"/>
            <w:vAlign w:val="bottom"/>
            <w:gridSpan w:val="4"/>
          </w:tcPr>
          <w:p>
            <w:pPr>
              <w:spacing w:after="0"/>
              <w:rPr>
                <w:sz w:val="24"/>
                <w:szCs w:val="24"/>
                <w:color w:val="auto"/>
              </w:rPr>
            </w:pPr>
          </w:p>
        </w:tc>
        <w:tc>
          <w:tcPr>
            <w:tcW w:w="39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960" w:type="dxa"/>
            <w:vAlign w:val="bottom"/>
            <w:gridSpan w:val="8"/>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4.</w:t>
            </w:r>
          </w:p>
        </w:tc>
        <w:tc>
          <w:tcPr>
            <w:tcW w:w="880" w:type="dxa"/>
            <w:vAlign w:val="bottom"/>
            <w:gridSpan w:val="4"/>
          </w:tcPr>
          <w:p>
            <w:pPr>
              <w:spacing w:after="0"/>
              <w:rPr>
                <w:sz w:val="24"/>
                <w:szCs w:val="24"/>
                <w:color w:val="auto"/>
              </w:rPr>
            </w:pPr>
          </w:p>
        </w:tc>
        <w:tc>
          <w:tcPr>
            <w:tcW w:w="1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4260" w:type="dxa"/>
            <w:vAlign w:val="bottom"/>
            <w:gridSpan w:val="16"/>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b w:val="1"/>
                <w:bCs w:val="1"/>
                <w:color w:val="0000FF"/>
                <w:w w:val="96"/>
              </w:rPr>
              <w:t>PART II.</w:t>
            </w:r>
          </w:p>
        </w:tc>
        <w:tc>
          <w:tcPr>
            <w:tcW w:w="740" w:type="dxa"/>
            <w:vAlign w:val="bottom"/>
          </w:tcPr>
          <w:p>
            <w:pPr>
              <w:spacing w:after="0"/>
              <w:rPr>
                <w:sz w:val="24"/>
                <w:szCs w:val="24"/>
                <w:color w:val="auto"/>
              </w:rPr>
            </w:pPr>
          </w:p>
        </w:tc>
        <w:tc>
          <w:tcPr>
            <w:tcW w:w="19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b w:val="1"/>
                <w:bCs w:val="1"/>
                <w:color w:val="0000FF"/>
              </w:rPr>
              <w:t>OTHER INFORMATION:</w:t>
            </w:r>
          </w:p>
        </w:tc>
        <w:tc>
          <w:tcPr>
            <w:tcW w:w="3980" w:type="dxa"/>
            <w:vAlign w:val="bottom"/>
            <w:gridSpan w:val="13"/>
          </w:tcPr>
          <w:p>
            <w:pPr>
              <w:spacing w:after="0"/>
              <w:rPr>
                <w:sz w:val="24"/>
                <w:szCs w:val="24"/>
                <w:color w:val="auto"/>
              </w:rPr>
            </w:pPr>
          </w:p>
        </w:tc>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1.</w:t>
            </w:r>
          </w:p>
        </w:tc>
        <w:tc>
          <w:tcPr>
            <w:tcW w:w="880" w:type="dxa"/>
            <w:vAlign w:val="bottom"/>
            <w:gridSpan w:val="4"/>
          </w:tcPr>
          <w:p>
            <w:pPr>
              <w:spacing w:after="0"/>
              <w:rPr>
                <w:sz w:val="24"/>
                <w:szCs w:val="24"/>
                <w:color w:val="auto"/>
              </w:rPr>
            </w:pPr>
          </w:p>
        </w:tc>
        <w:tc>
          <w:tcPr>
            <w:tcW w:w="1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4660" w:type="dxa"/>
            <w:vAlign w:val="bottom"/>
            <w:gridSpan w:val="20"/>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0000FF"/>
              </w:rPr>
              <w:t>Item 1A.</w:t>
            </w:r>
          </w:p>
        </w:tc>
        <w:tc>
          <w:tcPr>
            <w:tcW w:w="588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gridSpan w:val="14"/>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2.</w:t>
            </w:r>
          </w:p>
        </w:tc>
        <w:tc>
          <w:tcPr>
            <w:tcW w:w="10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39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920" w:type="dxa"/>
            <w:vAlign w:val="bottom"/>
            <w:gridSpan w:val="7"/>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0000FF"/>
                <w:w w:val="99"/>
              </w:rPr>
              <w:t>Item 5.</w:t>
            </w:r>
          </w:p>
        </w:tc>
        <w:tc>
          <w:tcPr>
            <w:tcW w:w="880" w:type="dxa"/>
            <w:vAlign w:val="bottom"/>
            <w:gridSpan w:val="4"/>
          </w:tcPr>
          <w:p>
            <w:pPr>
              <w:spacing w:after="0"/>
              <w:rPr>
                <w:sz w:val="24"/>
                <w:szCs w:val="24"/>
                <w:color w:val="auto"/>
              </w:rPr>
            </w:pPr>
          </w:p>
        </w:tc>
        <w:tc>
          <w:tcPr>
            <w:tcW w:w="12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4680" w:type="dxa"/>
            <w:vAlign w:val="bottom"/>
            <w:gridSpan w:val="21"/>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b w:val="1"/>
                <w:bCs w:val="1"/>
                <w:color w:val="0000FF"/>
                <w:w w:val="99"/>
              </w:rPr>
              <w:t>Item 6.</w:t>
            </w:r>
          </w:p>
        </w:tc>
        <w:tc>
          <w:tcPr>
            <w:tcW w:w="880" w:type="dxa"/>
            <w:vAlign w:val="bottom"/>
            <w:gridSpan w:val="4"/>
          </w:tcPr>
          <w:p>
            <w:pPr>
              <w:spacing w:after="0"/>
              <w:rPr>
                <w:sz w:val="24"/>
                <w:szCs w:val="24"/>
                <w:color w:val="auto"/>
              </w:rPr>
            </w:pPr>
          </w:p>
        </w:tc>
        <w:tc>
          <w:tcPr>
            <w:tcW w:w="588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Exhibits</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80" w:type="dxa"/>
            <w:vAlign w:val="bottom"/>
            <w:gridSpan w:val="23"/>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5180" w:type="dxa"/>
            <w:vAlign w:val="bottom"/>
            <w:gridSpan w:val="23"/>
          </w:tcPr>
          <w:p>
            <w:pPr>
              <w:spacing w:after="0"/>
              <w:rPr>
                <w:sz w:val="24"/>
                <w:szCs w:val="24"/>
                <w:color w:val="auto"/>
              </w:rPr>
            </w:pPr>
          </w:p>
        </w:tc>
        <w:tc>
          <w:tcPr>
            <w:tcW w:w="378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Quarterly Report on Form 10-Q contains not only historical information, but also forward-looking statements within the meaning of the Private Securities Litigation Reform Act of 1995.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"outlook," "guidance," "forecast," "goal," "anticipate," "continue," "plan," "estimate," "project," "target," "improve," "believe," "become," "should," "could," "will," "would," "possible," "may," "likely," "intend," "can," "pursue," "potential," "pro forma," "approximately," variations of such words or the negative thereof, and similar expressions or future dates. Our forward-looking statements generally relate to our future performance, including our anticipated operating results, liquidity requirements, and financial condition; the anticipated impacts of current global supply chain disruptions, the inflationary environment, current wars and international sanctions and geopolitical tensions, tight labor markets and other macroeconomic factors; our business strategies, priorities, goals, and commitments; acquisitions and any impairment, restructuring, or other charges in connection therewith or resulting therefrom; business and productivity initiatives and anticipated sales growth, profitability, cost savings and other benefits associated therewith; and the effect of laws, rules, policies, regulations, tax reform, new accounting pronouncements, and outstanding litigation on our business and future performance.</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Forward-looking statements are only projections and involve risks and uncertainties that could cause actual results to differ materially from those projected or implied in the forward-looking statements. The following are some of the factors known to us that could cause our actual results to differ materially from what we have anticipated in our forward-looking statements:</w:t>
      </w:r>
    </w:p>
    <w:p>
      <w:pPr>
        <w:spacing w:after="0" w:line="64" w:lineRule="exact"/>
        <w:rPr>
          <w:sz w:val="20"/>
          <w:szCs w:val="20"/>
          <w:color w:val="auto"/>
        </w:rPr>
      </w:pPr>
    </w:p>
    <w:p>
      <w:pPr>
        <w:jc w:val="both"/>
        <w:ind w:left="620" w:hanging="307"/>
        <w:spacing w:after="0" w:line="25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economic conditions and outlook in the United States and in other countries in which we conduct business, such as but not limited to: economic uncertainty; business slowdowns, suspensions or delays of production and commercial activity; slow or negative economic growth rates or recessionary conditions; reduced or negative consumer confidence; reduced consumer spending levels; changing consumer preferences; inflationary or deflationary pressures; higher short-term, mortgage, and other interest rates; increased or prolonged high or low unemployment rates and tight labor markets; higher costs, longer lead times and reduced availability of commodities, components, parts, and accessories, including as a result of transportation-related costs, inflation, changing prices, foreign currency fluctuations, tariffs, and/or duties; slowdowns or reductions in levels of interest in the game of golf or golf course activity, development, renovation, or improvement; golf course closures; reduced customer, governmental or municipal spending; reduced infrastructure spending; reduced levels of home ownership, construction, or sales; home foreclosures; the impact of U.S. federal debt, state debt, and sovereign debt defaults; reduced credit availability or unfavorable credit terms for us or our distributors, dealers, or end-user customers; and general economic and political conditions and expectations;</w:t>
      </w:r>
    </w:p>
    <w:p>
      <w:pPr>
        <w:spacing w:after="0" w:line="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that weather conditions or climate change have on demand for our products and operations, including our supply chain;</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disruption, and/or shortages in the availability of and the cost of commodities, components, parts, or accessories used in our products;</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6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appropriate inventory levels, including as a result of global supply chain disruptions or changes in purchasing patterns by customers, and if we underestimate or overestimate demand for our products, and the effect of inventory management decisions of our distribution channel customers;</w:t>
      </w:r>
    </w:p>
    <w:p>
      <w:pPr>
        <w:spacing w:after="0" w:line="185"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acquisitions and alliances, strong customer relations, and new joint ventures, investments, or partnerships and our failure to successfully complete divestitures or other restructuring activities, including without limitation our ability to integrate acquired businesses and to address material issues both identified and not uncovered during our due diligence review, loss of substantial customers, and the ability of acquired companies or our alliances, joint ventures, investments or partnerships to achieve satisfactory operating results, including results being accretive to earnings, realization of synergies and expected cash flow generation, which could lead to impairment, restructuring, and other charges;</w:t>
      </w:r>
    </w:p>
    <w:p>
      <w:pPr>
        <w:spacing w:after="0" w:line="3"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enhance existing products and develop and market new products that respond to customer needs and preferences and achieve market acceptance, including in particular alternative power, smart connected, and autonomous solutions;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product mix;</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of competition;</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cost-effectively expand and renovate existing facilities, open and manage new or acquired facilities, move production between manufacturing facilities, and/or any disruption at or near any of our facilities or other operations or those of our suppliers, distribution channel customers, mass retailers, or home centers where our products are sold;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left="620" w:hanging="307"/>
        <w:spacing w:after="0" w:line="25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our executive officers or other key employees, attract and retain other qualified employees or successfully implement executive officer, key employee or other leadership or employee transitions and any failure by us, or our suppliers or distribution channel partners, to hire and/or retain a labor force to enhance existing products and develop and market new products, adequately staff manufacturing operations, perform service or warranty work or other necessary activities, or allow employees to adequately and safely perform their jobs;</w:t>
      </w:r>
    </w:p>
    <w:p>
      <w:pPr>
        <w:spacing w:after="0" w:line="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composition of, financial viability of, and the relationships with, our distribution channel customers;</w:t>
      </w:r>
    </w:p>
    <w:p>
      <w:pPr>
        <w:spacing w:after="0" w:line="1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credit arrangements and ratings and any material change in the availability or terms of, or termination or disruption of, credit offered to our customers, distributors, and dealers;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international operations, including but not limited to the effect of foreign currency exchange rate fluctuations and compliance with foreign legal and regulatory requirements, current wars and international sanctions and geopolitical tensions, political risks associated with the potential instability of governments and legal systems in countries in which we or our customers or suppliers conduct business, and other current and potential conflicts;</w:t>
      </w:r>
    </w:p>
    <w:p>
      <w:pPr>
        <w:spacing w:after="0" w:line="2"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comply with all applicable legal and regulatory requirements and the effect of product quality issues, product liability claims, and other litigation to which we are or may be subject;</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protect our intellectual property and other proprietary rights or operate our business without infringing upon the intellectual property or other proprietary rights of others;</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information systems or information security practices or those of our business partners or third-party service providers to adequately perform and/or protect sensitive or confidential information;</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a possible U.S. governmental shutdown and its impact on the U.S. economy, capital markets and our business;</w:t>
      </w:r>
    </w:p>
    <w:p>
      <w:pPr>
        <w:spacing w:after="0" w:line="1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our financial projections or other business initiatives, including our recently announced Amplifying Maximum Productivity (“AMP”) initiative, in the time periods that we anticipate or at all;</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or tax standards and policies and/or assumptions utilized in determining accounting tax estimates;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of increased scrutiny on our environmental, social and governance (“ESG”) practices and our ability to meet our ESG company goals.</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and our subsequent filings with the SEC.</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our subsequent SEC filings, as well as others that we may consider immaterial or do not anticipate at this time. These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Earnings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and shares in millions, except per share data)</w:t>
      </w:r>
    </w:p>
    <w:p>
      <w:pPr>
        <w:spacing w:after="0" w:line="115"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3, 2023</w:t>
            </w:r>
          </w:p>
        </w:tc>
      </w:tr>
      <w:tr>
        <w:trPr>
          <w:trHeight w:val="214"/>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1,001.9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1,148.8</w:t>
            </w:r>
          </w:p>
        </w:tc>
      </w:tr>
      <w:tr>
        <w:trPr>
          <w:trHeight w:val="217"/>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5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657.4</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752.9</w:t>
            </w:r>
          </w:p>
        </w:tc>
      </w:tr>
      <w:tr>
        <w:trPr>
          <w:trHeight w:val="216"/>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15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344.5</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395.9</w:t>
            </w:r>
          </w:p>
        </w:tc>
      </w:tr>
      <w:tr>
        <w:trPr>
          <w:trHeight w:val="217"/>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5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255.9</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259.5</w:t>
            </w:r>
          </w:p>
        </w:tc>
      </w:tr>
      <w:tr>
        <w:trPr>
          <w:trHeight w:val="216"/>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earnings</w:t>
            </w:r>
          </w:p>
        </w:tc>
        <w:tc>
          <w:tcPr>
            <w:tcW w:w="15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88.6</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w:t>
            </w:r>
          </w:p>
        </w:tc>
      </w:tr>
      <w:tr>
        <w:trPr>
          <w:trHeight w:val="21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5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2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5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7.7</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3"/>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56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80.1</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w:t>
            </w:r>
          </w:p>
        </w:tc>
      </w:tr>
      <w:tr>
        <w:trPr>
          <w:trHeight w:val="22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5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15.2</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13"/>
        </w:trPr>
        <w:tc>
          <w:tcPr>
            <w:tcW w:w="6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64.9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w:t>
            </w:r>
          </w:p>
        </w:tc>
      </w:tr>
      <w:tr>
        <w:trPr>
          <w:trHeight w:val="22"/>
        </w:trPr>
        <w:tc>
          <w:tcPr>
            <w:tcW w:w="6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0"/>
        </w:trPr>
        <w:tc>
          <w:tcPr>
            <w:tcW w:w="64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2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earnings per share of 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83"/>
        </w:trPr>
        <w:tc>
          <w:tcPr>
            <w:tcW w:w="64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217"/>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earnings per share of 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86"/>
        </w:trPr>
        <w:tc>
          <w:tcPr>
            <w:tcW w:w="64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22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104.4</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w:t>
            </w:r>
          </w:p>
        </w:tc>
      </w:tr>
      <w:tr>
        <w:trPr>
          <w:trHeight w:val="103"/>
        </w:trPr>
        <w:tc>
          <w:tcPr>
            <w:tcW w:w="64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17"/>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15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104.7</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Comprehensive Income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w:t>
      </w:r>
    </w:p>
    <w:p>
      <w:pPr>
        <w:spacing w:after="0" w:line="115"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10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3, 2023</w:t>
            </w:r>
          </w:p>
        </w:tc>
      </w:tr>
      <w:tr>
        <w:trPr>
          <w:trHeight w:val="214"/>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64.9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r>
      <w:tr>
        <w:trPr>
          <w:trHeight w:val="217"/>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3"/>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9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7.3</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17"/>
        </w:trPr>
        <w:tc>
          <w:tcPr>
            <w:tcW w:w="6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Derivative instruments, net of tax of $(1.9); $(5.9), respectively</w:t>
            </w:r>
          </w:p>
        </w:tc>
        <w:tc>
          <w:tcPr>
            <w:tcW w:w="19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9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7"/>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66.9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w:t>
            </w:r>
          </w:p>
        </w:tc>
      </w:tr>
      <w:tr>
        <w:trPr>
          <w:trHeight w:val="22"/>
        </w:trPr>
        <w:tc>
          <w:tcPr>
            <w:tcW w:w="6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Balance Sheets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2760" w:type="dxa"/>
            <w:vAlign w:val="bottom"/>
            <w:tcBorders>
              <w:top w:val="single" w:sz="8" w:color="auto"/>
              <w:bottom w:val="single" w:sz="8" w:color="auto"/>
            </w:tcBorders>
          </w:tcPr>
          <w:p>
            <w:pPr>
              <w:spacing w:after="0"/>
              <w:rPr>
                <w:sz w:val="20"/>
                <w:szCs w:val="20"/>
                <w:color w:val="auto"/>
              </w:rPr>
            </w:pPr>
          </w:p>
        </w:tc>
        <w:tc>
          <w:tcPr>
            <w:tcW w:w="26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2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2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ASSETS</w:t>
            </w:r>
          </w:p>
        </w:tc>
        <w:tc>
          <w:tcPr>
            <w:tcW w:w="5440" w:type="dxa"/>
            <w:vAlign w:val="bottom"/>
            <w:tcBorders>
              <w:bottom w:val="single" w:sz="8" w:color="CCEEFF"/>
            </w:tcBorders>
            <w:gridSpan w:val="2"/>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198.5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174.0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net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489.1</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377.3</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2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1,177.1</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1,131.4</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1,087.8</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101.8</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75.0</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1,966.5</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1,757.7</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1,798.8</w:t>
            </w:r>
          </w:p>
        </w:tc>
        <w:tc>
          <w:tcPr>
            <w:tcW w:w="0" w:type="dxa"/>
            <w:vAlign w:val="bottom"/>
          </w:tcPr>
          <w:p>
            <w:pPr>
              <w:spacing w:after="0"/>
              <w:rPr>
                <w:sz w:val="1"/>
                <w:szCs w:val="1"/>
                <w:color w:val="auto"/>
              </w:rPr>
            </w:pPr>
          </w:p>
        </w:tc>
      </w:tr>
      <w:tr>
        <w:trPr>
          <w:trHeight w:val="86"/>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2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639.2</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584.1</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451.2</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584.6</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531.5</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577.1</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121.8</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74.6</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 in finance affiliate</w:t>
            </w:r>
          </w:p>
        </w:tc>
        <w:tc>
          <w:tcPr>
            <w:tcW w:w="2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48.4</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45.7</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20.3</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11.7</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22.2</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19.4</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3,801.1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3,654.9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LIABILITIES AND STOCKHOLDERS’ EQUITY</w:t>
            </w: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tcPr>
          <w:p>
            <w:pPr>
              <w:spacing w:after="0"/>
              <w:rPr>
                <w:sz w:val="18"/>
                <w:szCs w:val="18"/>
                <w:color w:val="auto"/>
              </w:rPr>
            </w:pPr>
          </w:p>
        </w:tc>
        <w:tc>
          <w:tcPr>
            <w:tcW w:w="3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rPr>
              <w:t>6.8</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CCEEFF"/>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421.8</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475.2</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474.5</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496.8</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499.1</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18.8</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16.0</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921.9</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988.0</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948.6</w:t>
            </w:r>
          </w:p>
        </w:tc>
        <w:tc>
          <w:tcPr>
            <w:tcW w:w="0" w:type="dxa"/>
            <w:vAlign w:val="bottom"/>
          </w:tcPr>
          <w:p>
            <w:pPr>
              <w:spacing w:after="0"/>
              <w:rPr>
                <w:sz w:val="1"/>
                <w:szCs w:val="1"/>
                <w:color w:val="auto"/>
              </w:rPr>
            </w:pPr>
          </w:p>
        </w:tc>
      </w:tr>
      <w:tr>
        <w:trPr>
          <w:trHeight w:val="86"/>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2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1,179.8</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1,091.0</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108.4</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60.7</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31.4</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42.7</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39.6</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gridSpan w:val="3"/>
          </w:tcPr>
          <w:p>
            <w:pPr>
              <w:ind w:left="120"/>
              <w:spacing w:after="0" w:line="155" w:lineRule="exact"/>
              <w:rPr>
                <w:sz w:val="20"/>
                <w:szCs w:val="20"/>
                <w:color w:val="auto"/>
              </w:rPr>
            </w:pPr>
            <w:r>
              <w:rPr>
                <w:rFonts w:ascii="Times New Roman" w:cs="Times New Roman" w:eastAsia="Times New Roman" w:hAnsi="Times New Roman"/>
                <w:sz w:val="16"/>
                <w:szCs w:val="16"/>
                <w:color w:val="auto"/>
              </w:rPr>
              <w:t>Preferred stock, par value $1.00 per share, authorized 1,000,000 voting and 850,000 non-</w:t>
            </w:r>
          </w:p>
        </w:tc>
        <w:tc>
          <w:tcPr>
            <w:tcW w:w="240" w:type="dxa"/>
            <w:vAlign w:val="bottom"/>
          </w:tcPr>
          <w:p>
            <w:pPr>
              <w:spacing w:after="0"/>
              <w:rPr>
                <w:sz w:val="13"/>
                <w:szCs w:val="13"/>
                <w:color w:val="auto"/>
              </w:rPr>
            </w:pPr>
          </w:p>
        </w:tc>
        <w:tc>
          <w:tcPr>
            <w:tcW w:w="152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52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voting shares, none issued and outstanding</w:t>
            </w:r>
          </w:p>
        </w:tc>
        <w:tc>
          <w:tcPr>
            <w:tcW w:w="24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ind w:left="120"/>
              <w:spacing w:after="0" w:line="158" w:lineRule="exact"/>
              <w:rPr>
                <w:sz w:val="20"/>
                <w:szCs w:val="20"/>
                <w:color w:val="auto"/>
              </w:rPr>
            </w:pPr>
            <w:r>
              <w:rPr>
                <w:rFonts w:ascii="Times New Roman" w:cs="Times New Roman" w:eastAsia="Times New Roman" w:hAnsi="Times New Roman"/>
                <w:sz w:val="16"/>
                <w:szCs w:val="16"/>
                <w:color w:val="auto"/>
              </w:rPr>
              <w:t>Common stock, par value $1.00 per share, authorized 175,000,000 shares; issued and</w:t>
            </w: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ind w:left="120"/>
              <w:spacing w:after="0" w:line="159" w:lineRule="exact"/>
              <w:rPr>
                <w:sz w:val="20"/>
                <w:szCs w:val="20"/>
                <w:color w:val="auto"/>
              </w:rPr>
            </w:pPr>
            <w:r>
              <w:rPr>
                <w:rFonts w:ascii="Times New Roman" w:cs="Times New Roman" w:eastAsia="Times New Roman" w:hAnsi="Times New Roman"/>
                <w:sz w:val="16"/>
                <w:szCs w:val="16"/>
                <w:color w:val="auto"/>
              </w:rPr>
              <w:t>outstanding 104,013,541 shares as of February 2, 2024, 104,283,002 shares as of</w:t>
            </w:r>
          </w:p>
        </w:tc>
        <w:tc>
          <w:tcPr>
            <w:tcW w:w="24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104.0</w:t>
            </w:r>
          </w:p>
        </w:tc>
        <w:tc>
          <w:tcPr>
            <w:tcW w:w="22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104.3</w:t>
            </w:r>
          </w:p>
        </w:tc>
        <w:tc>
          <w:tcPr>
            <w:tcW w:w="2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February 3, 2023, and 103,843,485 shares as of October 31, 2023</w:t>
            </w:r>
          </w:p>
        </w:tc>
        <w:tc>
          <w:tcPr>
            <w:tcW w:w="24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1,478.9</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1,368.5</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1,444.1</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1,547.9</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1,444.2</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1,510.9</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3,801.1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3,654.9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Cash Flows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w:t>
      </w:r>
    </w:p>
    <w:p>
      <w:pPr>
        <w:spacing w:after="0" w:line="115"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3, 2023</w:t>
            </w:r>
          </w:p>
        </w:tc>
      </w:tr>
      <w:tr>
        <w:trPr>
          <w:trHeight w:val="214"/>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64.9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w:t>
            </w:r>
          </w:p>
        </w:tc>
      </w:tr>
      <w:tr>
        <w:trPr>
          <w:trHeight w:val="22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net cash used in operating activities:</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income from finance affiliate</w:t>
            </w:r>
          </w:p>
        </w:tc>
        <w:tc>
          <w:tcPr>
            <w:tcW w:w="15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from (contributions to) finance affiliate, net</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7.2</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7"/>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156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22.0</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8.7</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7"/>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56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the effect of acquisitions:</w:t>
            </w: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net</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17"/>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5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7"/>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5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w:t>
            </w:r>
          </w:p>
        </w:tc>
      </w:tr>
      <w:tr>
        <w:trPr>
          <w:trHeight w:val="220"/>
        </w:trPr>
        <w:tc>
          <w:tcPr>
            <w:tcW w:w="6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5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13"/>
        </w:trPr>
        <w:tc>
          <w:tcPr>
            <w:tcW w:w="6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5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86"/>
        </w:trPr>
        <w:tc>
          <w:tcPr>
            <w:tcW w:w="648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r>
      <w:tr>
        <w:trPr>
          <w:trHeight w:val="21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17"/>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insurance claim</w:t>
            </w:r>
          </w:p>
        </w:tc>
        <w:tc>
          <w:tcPr>
            <w:tcW w:w="156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20"/>
        </w:trPr>
        <w:tc>
          <w:tcPr>
            <w:tcW w:w="6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asset disposals</w:t>
            </w:r>
          </w:p>
        </w:tc>
        <w:tc>
          <w:tcPr>
            <w:tcW w:w="15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6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5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73"/>
        </w:trPr>
        <w:tc>
          <w:tcPr>
            <w:tcW w:w="64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21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3"/>
        </w:trPr>
        <w:tc>
          <w:tcPr>
            <w:tcW w:w="648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Net borrowings under the revolving credit facility</w:t>
            </w:r>
            <w:r>
              <w:rPr>
                <w:rFonts w:ascii="Times New Roman" w:cs="Times New Roman" w:eastAsia="Times New Roman" w:hAnsi="Times New Roman"/>
                <w:sz w:val="21"/>
                <w:szCs w:val="21"/>
                <w:color w:val="auto"/>
                <w:vertAlign w:val="superscript"/>
              </w:rPr>
              <w:t>1</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155.0</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56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withholding taxes for stock awards</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7"/>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paid on TTC common stock</w:t>
            </w:r>
          </w:p>
        </w:tc>
        <w:tc>
          <w:tcPr>
            <w:tcW w:w="15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20"/>
        </w:trPr>
        <w:tc>
          <w:tcPr>
            <w:tcW w:w="6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5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6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5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114.1</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w:t>
            </w:r>
          </w:p>
        </w:tc>
      </w:tr>
      <w:tr>
        <w:trPr>
          <w:trHeight w:val="86"/>
        </w:trPr>
        <w:tc>
          <w:tcPr>
            <w:tcW w:w="648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r>
      <w:tr>
        <w:trPr>
          <w:trHeight w:val="217"/>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15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86"/>
        </w:trPr>
        <w:tc>
          <w:tcPr>
            <w:tcW w:w="648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r>
      <w:tr>
        <w:trPr>
          <w:trHeight w:val="217"/>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5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5.4</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3"/>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beginning of the fiscal period</w:t>
            </w:r>
          </w:p>
        </w:tc>
        <w:tc>
          <w:tcPr>
            <w:tcW w:w="15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193.1</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r>
      <w:tr>
        <w:trPr>
          <w:trHeight w:val="21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end of the fiscal period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198.5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w:t>
            </w:r>
          </w:p>
        </w:tc>
      </w:tr>
      <w:tr>
        <w:trPr>
          <w:trHeight w:val="22"/>
        </w:trPr>
        <w:tc>
          <w:tcPr>
            <w:tcW w:w="6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240" w:hanging="159"/>
        <w:spacing w:after="0" w:line="227" w:lineRule="auto"/>
        <w:tabs>
          <w:tab w:leader="none" w:pos="24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Presentation of prior year revolving credit facility and long-term debt activity has been conformed to the current year presentation. There was no change to net cash provided by financing activities.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millions,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78"/>
              <w:spacing w:after="0" w:line="168" w:lineRule="exact"/>
              <w:rPr>
                <w:sz w:val="20"/>
                <w:szCs w:val="20"/>
                <w:color w:val="auto"/>
              </w:rPr>
            </w:pPr>
            <w:r>
              <w:rPr>
                <w:rFonts w:ascii="Times New Roman" w:cs="Times New Roman" w:eastAsia="Times New Roman" w:hAnsi="Times New Roman"/>
                <w:sz w:val="16"/>
                <w:szCs w:val="16"/>
                <w:b w:val="1"/>
                <w:bCs w:val="1"/>
                <w:color w:val="auto"/>
              </w:rPr>
              <w:t>Common</w:t>
            </w: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98"/>
              <w:spacing w:after="0" w:line="168"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20" w:type="dxa"/>
            <w:vAlign w:val="bottom"/>
            <w:tcBorders>
              <w:top w:val="single" w:sz="8" w:color="auto"/>
            </w:tcBorders>
            <w:gridSpan w:val="2"/>
          </w:tcPr>
          <w:p>
            <w:pPr>
              <w:jc w:val="right"/>
              <w:ind w:right="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58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Total Stockholders'</w:t>
            </w:r>
          </w:p>
        </w:tc>
        <w:tc>
          <w:tcPr>
            <w:tcW w:w="0" w:type="dxa"/>
            <w:vAlign w:val="bottom"/>
          </w:tcPr>
          <w:p>
            <w:pPr>
              <w:spacing w:after="0"/>
              <w:rPr>
                <w:sz w:val="1"/>
                <w:szCs w:val="1"/>
                <w:color w:val="auto"/>
              </w:rPr>
            </w:pPr>
          </w:p>
        </w:tc>
      </w:tr>
      <w:tr>
        <w:trPr>
          <w:trHeight w:val="219"/>
        </w:trPr>
        <w:tc>
          <w:tcPr>
            <w:tcW w:w="5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Stock</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3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1,444.1</w:t>
            </w:r>
          </w:p>
        </w:tc>
        <w:tc>
          <w:tcPr>
            <w:tcW w:w="6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1,510.9</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$0.36 per share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248,137 shares of common stock under stock-based compensation</w:t>
            </w:r>
          </w:p>
        </w:tc>
        <w:tc>
          <w:tcPr>
            <w:tcW w:w="2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 less contribution of 54,526 shares to a deferred compensation trust</w:t>
            </w:r>
          </w:p>
        </w:tc>
        <w:tc>
          <w:tcPr>
            <w:tcW w:w="2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8.4</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23,555 shares of common stock</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2.0</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2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64.9</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February 2, 2024</w:t>
            </w:r>
          </w:p>
        </w:tc>
        <w:tc>
          <w:tcPr>
            <w:tcW w:w="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3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1,478.9</w:t>
            </w:r>
          </w:p>
        </w:tc>
        <w:tc>
          <w:tcPr>
            <w:tcW w:w="6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1,547.9</w:t>
            </w:r>
          </w:p>
        </w:tc>
        <w:tc>
          <w:tcPr>
            <w:tcW w:w="0" w:type="dxa"/>
            <w:vAlign w:val="bottom"/>
          </w:tcPr>
          <w:p>
            <w:pPr>
              <w:spacing w:after="0"/>
              <w:rPr>
                <w:sz w:val="1"/>
                <w:szCs w:val="1"/>
                <w:color w:val="auto"/>
              </w:rPr>
            </w:pPr>
          </w:p>
        </w:tc>
      </w:tr>
      <w:tr>
        <w:trPr>
          <w:trHeight w:val="22"/>
        </w:trPr>
        <w:tc>
          <w:tcPr>
            <w:tcW w:w="5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
        </w:trPr>
        <w:tc>
          <w:tcPr>
            <w:tcW w:w="5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2022</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3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1,280.8</w:t>
            </w:r>
          </w:p>
        </w:tc>
        <w:tc>
          <w:tcPr>
            <w:tcW w:w="6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1,351.7</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$0.34 per share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351,032 shares of common stock under stock-based compensation</w:t>
            </w:r>
          </w:p>
        </w:tc>
        <w:tc>
          <w:tcPr>
            <w:tcW w:w="28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3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13.7</w:t>
            </w:r>
          </w:p>
        </w:tc>
        <w:tc>
          <w:tcPr>
            <w:tcW w:w="6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 less contribution of 14,270 shares to a deferred compensation trust</w:t>
            </w:r>
          </w:p>
        </w:tc>
        <w:tc>
          <w:tcPr>
            <w:tcW w:w="2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5.2</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23,565 shares of common stock</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4.5</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2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106.9</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February 3, 2023</w:t>
            </w:r>
          </w:p>
        </w:tc>
        <w:tc>
          <w:tcPr>
            <w:tcW w:w="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3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1,368.5</w:t>
            </w:r>
          </w:p>
        </w:tc>
        <w:tc>
          <w:tcPr>
            <w:tcW w:w="6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3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1,444.2</w:t>
            </w:r>
          </w:p>
        </w:tc>
        <w:tc>
          <w:tcPr>
            <w:tcW w:w="0" w:type="dxa"/>
            <w:vAlign w:val="bottom"/>
          </w:tcPr>
          <w:p>
            <w:pPr>
              <w:spacing w:after="0"/>
              <w:rPr>
                <w:sz w:val="1"/>
                <w:szCs w:val="1"/>
                <w:color w:val="auto"/>
              </w:rPr>
            </w:pPr>
          </w:p>
        </w:tc>
      </w:tr>
      <w:tr>
        <w:trPr>
          <w:trHeight w:val="22"/>
        </w:trPr>
        <w:tc>
          <w:tcPr>
            <w:tcW w:w="5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 2024</w:t>
      </w:r>
    </w:p>
    <w:p>
      <w:pPr>
        <w:spacing w:after="0" w:line="332" w:lineRule="exact"/>
        <w:rPr>
          <w:sz w:val="20"/>
          <w:szCs w:val="20"/>
          <w:color w:val="auto"/>
        </w:rPr>
      </w:pPr>
    </w:p>
    <w:p>
      <w:pPr>
        <w:ind w:left="600" w:hanging="579"/>
        <w:spacing w:after="0"/>
        <w:tabs>
          <w:tab w:leader="none" w:pos="600" w:val="left"/>
        </w:tabs>
        <w:numPr>
          <w:ilvl w:val="0"/>
          <w:numId w:val="6"/>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Basis of Presentation</w:t>
      </w:r>
    </w:p>
    <w:p>
      <w:pPr>
        <w:spacing w:after="0" w:line="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"TTC," "we," "our," or "us" refer to The Toro Company and its consolidated subsidiaries. All intercompany accounts and transactions have been eliminated from the unaudited Condensed Consolidated Financial Statements.</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Due to seasonality within the industries in which the company's businesses operate, among other factors, operating results for the three months ended February 2, 2024 cannot be annualized to determine the expected results for the fiscal year ending October 31, 2024.</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fiscal year ends on October 31 and quarterly results are reported based on three-month periods that generally end on the Friday closest to the calendar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further information regarding the company's basis of presentation, refer to the Consolidated Financial Statements and Notes to Consolidated Financial Statements included in the company’s Annual Report on Form 10-K for the fiscal year ended October 31, 2023. The policies described in that report are used for preparing the company's quarterly reports on Form 10-Q.</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allowances for current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or an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economic environment. Management adjusts such estimates and assumptions when facts and circumstances dictate. As future events and their effects cannot be determined with certainty, actual amounts could differ significantly from those estimated at the time the Condensed Consolidated Financial Statements are prepared.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Accounting Pronouncements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ASU No. 2023-09, Income Taxes (Topic 740): Improvements to income tax disclosures, which is designed to enhance the transparency and decision usefulness of income tax disclosures primarily related to the rate reconciliation and income taxes paid information. The amended guidance will become effective for the company's fiscal 2026 annual period. The company is currently evaluating the impact of this new standard on its Condensed Consolidated Financial Statements and related disclosures.</w:t>
      </w:r>
    </w:p>
    <w:p>
      <w:pPr>
        <w:spacing w:after="0" w:line="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November 2023, the FASB issued ASU No. 2023-07, Segment Reporting (Topic 280): Improvements to Reportable Segment Disclosures, which is intended to enhance reportable segment disclosure requirements, primarily through additional, more detailed disclosures about significant segment expenses. The ASU requires disclosures to include significant segment expenses that are regularly provided to the chief operating decision maker ("CODM"), an amount for other segment items by reportable segment and a description of its composition, and the title and position of the CODM and an explanation of how the CODM uses the reported measure of segment profit or loss in assessing segment performance and deciding how to allocate resources. The ASU also requires all annual disclosures currently required by Topic 280 to be included in interim periods. The amended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guidance will become effective for the company's fiscal 2025 annual period, and interim periods beginning with the first quarter of fiscal 2026. The company is currently evaluating the impact of this new standard on its Condensed Consolidated Financial Statements and related disclosures.</w:t>
      </w:r>
    </w:p>
    <w:p>
      <w:pPr>
        <w:spacing w:after="0" w:line="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In September 2022, the FASB issued ASU No. 2022-04, Supplier Finance Programs (Subtopic 405-50): Disclosure of Supplier Finance Program Obligations. The new standard requires disclosure of the key terms of supplier finance programs, the associated obligations outstanding, and a description of where those obligations are presented in the balance sheet. Additionally, effective for the company's fiscal 2025 annual period, the new standard requires a rollforward of the associated obligations outstanding during the annual period, including the amount of obligations confirmed and the amount of obligations subsequently paid. The amended guidance was adopted in the first quarter of fiscal 2024 and did not have a material impact on the company's Condensed Consolidated Financial Statements. For additional information regarding the company's supplier finance program, refer to Note 13,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w:t>
      </w:r>
    </w:p>
    <w:p>
      <w:pPr>
        <w:spacing w:after="0" w:line="7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believes that all other recently issued accounting pronouncements from the FASB that the company has not noted above will not have a material impact on its Condensed Consolidated Financial Statements or do not apply to its operations.</w:t>
      </w:r>
    </w:p>
    <w:p>
      <w:pPr>
        <w:spacing w:after="0" w:line="75" w:lineRule="exact"/>
        <w:rPr>
          <w:sz w:val="20"/>
          <w:szCs w:val="20"/>
          <w:color w:val="auto"/>
        </w:rPr>
      </w:pPr>
    </w:p>
    <w:p>
      <w:pPr>
        <w:ind w:left="600" w:hanging="579"/>
        <w:spacing w:after="0"/>
        <w:tabs>
          <w:tab w:leader="none" w:pos="600" w:val="left"/>
        </w:tabs>
        <w:numPr>
          <w:ilvl w:val="0"/>
          <w:numId w:val="7"/>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Segment Data</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company's businesses are organized, managed, and internally grouped into segments based on similarities in products and services. Segment selection is based on the manner in which the company's chief operating decision maker organizes segments for making operating and investment decisions and assessing performance. The company has identified twelve operating segments and has aggregated certain of those operating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 The company's Other activities consist of the company's wholly-owned domestic distribution company, the company's corporate activities, and the elimination of intersegment revenues and expenses.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summarized financial information concerning the company’s reportable business segments and Other activities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February 2, 2024</w:t>
            </w:r>
          </w:p>
        </w:tc>
        <w:tc>
          <w:tcPr>
            <w:tcW w:w="14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756.5</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04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5.3</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1,001.9</w:t>
            </w:r>
          </w:p>
        </w:tc>
      </w:tr>
      <w:tr>
        <w:trPr>
          <w:trHeight w:val="217"/>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r>
      <w:tr>
        <w:trPr>
          <w:trHeight w:val="217"/>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2,761.1</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654.7</w:t>
            </w:r>
          </w:p>
        </w:tc>
        <w:tc>
          <w:tcPr>
            <w:tcW w:w="104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385.3</w:t>
            </w:r>
          </w:p>
        </w:tc>
        <w:tc>
          <w:tcPr>
            <w:tcW w:w="3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3,801.1</w:t>
            </w: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February 3, 2023</w:t>
            </w:r>
          </w:p>
        </w:tc>
        <w:tc>
          <w:tcPr>
            <w:tcW w:w="14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880.7</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104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3.5</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1,148.8</w:t>
            </w:r>
          </w:p>
        </w:tc>
      </w:tr>
      <w:tr>
        <w:trPr>
          <w:trHeight w:val="217"/>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w:t>
            </w:r>
          </w:p>
        </w:tc>
      </w:tr>
      <w:tr>
        <w:trPr>
          <w:trHeight w:val="217"/>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2,782.8</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541.2</w:t>
            </w:r>
          </w:p>
        </w:tc>
        <w:tc>
          <w:tcPr>
            <w:tcW w:w="104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330.9</w:t>
            </w:r>
          </w:p>
        </w:tc>
        <w:tc>
          <w:tcPr>
            <w:tcW w:w="3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3,654.9</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details of operating loss before income taxes for the company's Other activities:</w:t>
      </w:r>
    </w:p>
    <w:p>
      <w:pPr>
        <w:spacing w:after="0" w:line="144"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3, 2023</w:t>
            </w:r>
          </w:p>
        </w:tc>
      </w:tr>
      <w:tr>
        <w:trPr>
          <w:trHeight w:val="214"/>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expenses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r>
      <w:tr>
        <w:trPr>
          <w:trHeight w:val="217"/>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20"/>
        </w:trPr>
        <w:tc>
          <w:tcPr>
            <w:tcW w:w="7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from the company's wholly-owned domestic distribution company and other income, net</w:t>
            </w:r>
          </w:p>
        </w:tc>
        <w:tc>
          <w:tcPr>
            <w:tcW w:w="8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8.1</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3"/>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operating loss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w:t>
            </w:r>
          </w:p>
        </w:tc>
      </w:tr>
      <w:tr>
        <w:trPr>
          <w:trHeight w:val="22"/>
        </w:trPr>
        <w:tc>
          <w:tcPr>
            <w:tcW w:w="7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hanging="579"/>
        <w:spacing w:after="0"/>
        <w:tabs>
          <w:tab w:leader="none" w:pos="600" w:val="left"/>
        </w:tabs>
        <w:numPr>
          <w:ilvl w:val="0"/>
          <w:numId w:val="8"/>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disaggregate the company's reportable segment net sales by major product type and geographic market (dollars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February 2, 2024</w:t>
            </w:r>
          </w:p>
        </w:tc>
        <w:tc>
          <w:tcPr>
            <w:tcW w:w="14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7"/>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647.0</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1120" w:type="dxa"/>
            <w:vAlign w:val="bottom"/>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883.5</w:t>
            </w:r>
          </w:p>
        </w:tc>
      </w:tr>
      <w:tr>
        <w:trPr>
          <w:trHeight w:val="220"/>
        </w:trPr>
        <w:tc>
          <w:tcPr>
            <w:tcW w:w="4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w:t>
            </w:r>
          </w:p>
        </w:tc>
      </w:tr>
      <w:tr>
        <w:trPr>
          <w:trHeight w:val="213"/>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756.5</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12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1,001.9</w:t>
            </w:r>
          </w:p>
        </w:tc>
      </w:tr>
      <w:tr>
        <w:trPr>
          <w:trHeight w:val="22"/>
        </w:trPr>
        <w:tc>
          <w:tcPr>
            <w:tcW w:w="40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0"/>
        </w:trPr>
        <w:tc>
          <w:tcPr>
            <w:tcW w:w="40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2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7"/>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586.1</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1120" w:type="dxa"/>
            <w:vAlign w:val="bottom"/>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796.9</w:t>
            </w:r>
          </w:p>
        </w:tc>
      </w:tr>
      <w:tr>
        <w:trPr>
          <w:trHeight w:val="220"/>
        </w:trPr>
        <w:tc>
          <w:tcPr>
            <w:tcW w:w="4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w:t>
            </w:r>
          </w:p>
        </w:tc>
      </w:tr>
      <w:tr>
        <w:trPr>
          <w:trHeight w:val="213"/>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756.5</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12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1,001.9</w:t>
            </w:r>
          </w:p>
        </w:tc>
      </w:tr>
      <w:tr>
        <w:trPr>
          <w:trHeight w:val="22"/>
        </w:trPr>
        <w:tc>
          <w:tcPr>
            <w:tcW w:w="40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February 3, 2023</w:t>
            </w:r>
          </w:p>
        </w:tc>
        <w:tc>
          <w:tcPr>
            <w:tcW w:w="14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7"/>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1120" w:type="dxa"/>
            <w:vAlign w:val="bottom"/>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1,034.1</w:t>
            </w:r>
          </w:p>
        </w:tc>
      </w:tr>
      <w:tr>
        <w:trPr>
          <w:trHeight w:val="220"/>
        </w:trPr>
        <w:tc>
          <w:tcPr>
            <w:tcW w:w="4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r>
      <w:tr>
        <w:trPr>
          <w:trHeight w:val="213"/>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880.7</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112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1,148.8</w:t>
            </w:r>
          </w:p>
        </w:tc>
      </w:tr>
      <w:tr>
        <w:trPr>
          <w:trHeight w:val="22"/>
        </w:trPr>
        <w:tc>
          <w:tcPr>
            <w:tcW w:w="40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0"/>
        </w:trPr>
        <w:tc>
          <w:tcPr>
            <w:tcW w:w="40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2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7"/>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4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696.5</w:t>
            </w:r>
          </w:p>
        </w:tc>
        <w:tc>
          <w:tcPr>
            <w:tcW w:w="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120" w:type="dxa"/>
            <w:vAlign w:val="bottom"/>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3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903.4</w:t>
            </w:r>
          </w:p>
        </w:tc>
      </w:tr>
      <w:tr>
        <w:trPr>
          <w:trHeight w:val="220"/>
        </w:trPr>
        <w:tc>
          <w:tcPr>
            <w:tcW w:w="4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w:t>
            </w:r>
          </w:p>
        </w:tc>
      </w:tr>
      <w:tr>
        <w:trPr>
          <w:trHeight w:val="213"/>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4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880.7</w:t>
            </w:r>
          </w:p>
        </w:tc>
        <w:tc>
          <w:tcPr>
            <w:tcW w:w="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112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1,148.8</w:t>
            </w:r>
          </w:p>
        </w:tc>
      </w:tr>
      <w:tr>
        <w:trPr>
          <w:trHeight w:val="22"/>
        </w:trPr>
        <w:tc>
          <w:tcPr>
            <w:tcW w:w="40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February 2, 2024 and October 31, 2023, $27.6 million and $25.6 million, respectively, of deferred revenue associated with outstanding separately priced extended warranty contracts, service contracts, and non-refundable customer deposits was reported within accrued liabilities and other long-term liabilities in the Condensed Consolidated Balance Sheets. For the three months ended February 2, 2024, the company recognized $3.4 million of the October 31, 2023 deferred revenue balance within net sales in the Condensed Consolidated Statements of Earnings. The company expects to recognize approximately $8.6 million of the October 31, 2023 deferred revenue amount within net sales throughout the remainder of fiscal 2024, $7.8 million in fiscal 2025, and $5.8 million thereafter.</w:t>
      </w:r>
    </w:p>
    <w:p>
      <w:pPr>
        <w:spacing w:after="0" w:line="105" w:lineRule="exact"/>
        <w:rPr>
          <w:sz w:val="20"/>
          <w:szCs w:val="20"/>
          <w:color w:val="auto"/>
        </w:rPr>
      </w:pPr>
    </w:p>
    <w:p>
      <w:pPr>
        <w:ind w:left="600" w:hanging="579"/>
        <w:spacing w:after="0"/>
        <w:tabs>
          <w:tab w:leader="none" w:pos="600" w:val="left"/>
        </w:tabs>
        <w:numPr>
          <w:ilvl w:val="0"/>
          <w:numId w:val="9"/>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Goodwill and Other Intangible Assets, Net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the carrying amount of goodwill by reportable segment for the first three months of fiscal 2024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7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17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440.5</w:t>
            </w:r>
          </w:p>
        </w:tc>
        <w:tc>
          <w:tcPr>
            <w:tcW w:w="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12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450.8</w:t>
            </w:r>
          </w:p>
        </w:tc>
      </w:tr>
      <w:tr>
        <w:trPr>
          <w:trHeight w:val="217"/>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0.3</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38"/>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February 2, 2024</w:t>
            </w:r>
          </w:p>
        </w:tc>
        <w:tc>
          <w:tcPr>
            <w:tcW w:w="17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440.8</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120" w:type="dxa"/>
            <w:vAlign w:val="bottom"/>
            <w:tcBorders>
              <w:bottom w:val="single" w:sz="8" w:color="auto"/>
            </w:tcBorders>
            <w:shd w:val="clear" w:color="auto" w:fill="CCEEFF"/>
          </w:tcPr>
          <w:p>
            <w:pPr>
              <w:jc w:val="right"/>
              <w:ind w:right="8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451.2</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other intangible assets, net as of February 2, 2024, February 3, 2023, and October 31, 2023 were as follows (dollars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3020" w:type="dxa"/>
            <w:vAlign w:val="bottom"/>
            <w:tcBorders>
              <w:top w:val="single" w:sz="8" w:color="auto"/>
            </w:tcBorders>
          </w:tcPr>
          <w:p>
            <w:pPr>
              <w:jc w:val="right"/>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8"/>
              <w:spacing w:after="0" w:line="16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700" w:type="dxa"/>
            <w:vAlign w:val="bottom"/>
            <w:tcBorders>
              <w:bottom w:val="single" w:sz="8" w:color="auto"/>
            </w:tcBorders>
            <w:vMerge w:val="continue"/>
          </w:tcPr>
          <w:p>
            <w:pPr>
              <w:spacing w:after="0"/>
              <w:rPr>
                <w:sz w:val="19"/>
                <w:szCs w:val="19"/>
                <w:color w:val="auto"/>
              </w:rPr>
            </w:pP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3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458.6</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238"/>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38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3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3020" w:type="dxa"/>
            <w:vAlign w:val="bottom"/>
            <w:tcBorders>
              <w:top w:val="single" w:sz="8" w:color="auto"/>
            </w:tcBorders>
          </w:tcPr>
          <w:p>
            <w:pPr>
              <w:jc w:val="right"/>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8"/>
              <w:spacing w:after="0" w:line="16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700" w:type="dxa"/>
            <w:vAlign w:val="bottom"/>
            <w:tcBorders>
              <w:bottom w:val="single" w:sz="8" w:color="auto"/>
            </w:tcBorders>
            <w:vMerge w:val="continue"/>
          </w:tcPr>
          <w:p>
            <w:pPr>
              <w:spacing w:after="0"/>
              <w:rPr>
                <w:sz w:val="19"/>
                <w:szCs w:val="19"/>
                <w:color w:val="auto"/>
              </w:rPr>
            </w:pP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3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Backlog and other</w:t>
            </w: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0" w:type="dxa"/>
            <w:vAlign w:val="bottom"/>
          </w:tcPr>
          <w:p>
            <w:pPr>
              <w:spacing w:after="0"/>
              <w:rPr>
                <w:sz w:val="1"/>
                <w:szCs w:val="1"/>
                <w:color w:val="auto"/>
              </w:rPr>
            </w:pPr>
          </w:p>
        </w:tc>
      </w:tr>
      <w:tr>
        <w:trPr>
          <w:trHeight w:val="238"/>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38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3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2023</w:t>
            </w:r>
          </w:p>
        </w:tc>
        <w:tc>
          <w:tcPr>
            <w:tcW w:w="3020" w:type="dxa"/>
            <w:vAlign w:val="bottom"/>
            <w:tcBorders>
              <w:top w:val="single" w:sz="8" w:color="auto"/>
            </w:tcBorders>
          </w:tcPr>
          <w:p>
            <w:pPr>
              <w:jc w:val="right"/>
              <w:ind w:right="38"/>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8"/>
              <w:spacing w:after="0" w:line="16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1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9"/>
        </w:trPr>
        <w:tc>
          <w:tcPr>
            <w:tcW w:w="3700" w:type="dxa"/>
            <w:vAlign w:val="bottom"/>
            <w:tcBorders>
              <w:bottom w:val="single" w:sz="8" w:color="auto"/>
            </w:tcBorders>
            <w:vMerge w:val="continue"/>
          </w:tcPr>
          <w:p>
            <w:pPr>
              <w:spacing w:after="0"/>
              <w:rPr>
                <w:sz w:val="19"/>
                <w:szCs w:val="19"/>
                <w:color w:val="auto"/>
              </w:rPr>
            </w:pP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3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Backlog and other</w:t>
            </w: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0" w:type="dxa"/>
            <w:vAlign w:val="bottom"/>
          </w:tcPr>
          <w:p>
            <w:pPr>
              <w:spacing w:after="0"/>
              <w:rPr>
                <w:sz w:val="1"/>
                <w:szCs w:val="1"/>
                <w:color w:val="auto"/>
              </w:rPr>
            </w:pPr>
          </w:p>
        </w:tc>
      </w:tr>
      <w:tr>
        <w:trPr>
          <w:trHeight w:val="238"/>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38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3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Amortization expense for finite-lived intangible assets for the three months ended February 2, 2024 was $8.7 million. Amortization expense for finite-lived intangibles assets for the three months ended February 3, 2023 was $9.1 million. As of February 2, 2024, estimated amortization expense for the remainder of fiscal 2024 and succeeding fiscal years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7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2, 2024</w:t>
            </w:r>
          </w:p>
        </w:tc>
      </w:tr>
      <w:tr>
        <w:trPr>
          <w:trHeight w:val="21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(remaining)</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7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7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7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20"/>
        </w:trPr>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7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r>
      <w:tr>
        <w:trPr>
          <w:trHeight w:val="213"/>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estimated amortization expense</w:t>
            </w:r>
          </w:p>
        </w:tc>
        <w:tc>
          <w:tcPr>
            <w:tcW w:w="3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259.9</w:t>
            </w:r>
          </w:p>
        </w:tc>
      </w:tr>
      <w:tr>
        <w:trPr>
          <w:trHeight w:val="22"/>
        </w:trPr>
        <w:tc>
          <w:tcPr>
            <w:tcW w:w="604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548"/>
        </w:trPr>
        <w:tc>
          <w:tcPr>
            <w:tcW w:w="420" w:type="dxa"/>
            <w:vAlign w:val="bottom"/>
          </w:tcPr>
          <w:p>
            <w:pPr>
              <w:ind w:left="20"/>
              <w:spacing w:after="0"/>
              <w:rPr>
                <w:sz w:val="20"/>
                <w:szCs w:val="20"/>
                <w:color w:val="auto"/>
              </w:rPr>
            </w:pPr>
            <w:r>
              <w:rPr>
                <w:rFonts w:ascii="Times New Roman" w:cs="Times New Roman" w:eastAsia="Times New Roman" w:hAnsi="Times New Roman"/>
                <w:sz w:val="41"/>
                <w:szCs w:val="41"/>
                <w:b w:val="1"/>
                <w:bCs w:val="1"/>
                <w:color w:val="auto"/>
              </w:rPr>
              <w:t>5</w:t>
            </w:r>
          </w:p>
        </w:tc>
        <w:tc>
          <w:tcPr>
            <w:tcW w:w="47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Indebtedness</w:t>
            </w: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5"/>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is a summary of the company's indebtedness:</w:t>
            </w: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129"/>
        </w:trPr>
        <w:tc>
          <w:tcPr>
            <w:tcW w:w="5140" w:type="dxa"/>
            <w:vAlign w:val="bottom"/>
            <w:tcBorders>
              <w:bottom w:val="single" w:sz="8" w:color="auto"/>
            </w:tcBorders>
            <w:gridSpan w:val="2"/>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212"/>
        </w:trPr>
        <w:tc>
          <w:tcPr>
            <w:tcW w:w="5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$600 million revolving credit facility, due October 2026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195.0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$270 million term loan, due October 2026</w:t>
            </w:r>
          </w:p>
        </w:tc>
        <w:tc>
          <w:tcPr>
            <w:tcW w:w="11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270.0</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million term loan, due April 2027</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11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3.97% senior notes, due June 2032</w:t>
            </w:r>
          </w:p>
        </w:tc>
        <w:tc>
          <w:tcPr>
            <w:tcW w:w="11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11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124.2</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20"/>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long-term debt</w:t>
            </w:r>
          </w:p>
        </w:tc>
        <w:tc>
          <w:tcPr>
            <w:tcW w:w="11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1,186.6</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1,091.0</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1,031.5</w:t>
            </w:r>
          </w:p>
        </w:tc>
      </w:tr>
      <w:tr>
        <w:trPr>
          <w:trHeight w:val="220"/>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6.8</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1,179.8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1,031.5</w:t>
            </w:r>
          </w:p>
        </w:tc>
      </w:tr>
      <w:tr>
        <w:trPr>
          <w:trHeight w:val="22"/>
        </w:trPr>
        <w:tc>
          <w:tcPr>
            <w:tcW w:w="4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As of February 2, 2024, principal payments required on the company's outstanding indebtedness, based on the maturity dates defined within the company's debt arrangements, for the remainder of fiscal 2024 and succeeding fiscal years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8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2, 2024</w:t>
            </w:r>
          </w:p>
        </w:tc>
      </w:tr>
      <w:tr>
        <w:trPr>
          <w:trHeight w:val="214"/>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(remaining)</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8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8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0"/>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8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w:t>
            </w:r>
          </w:p>
        </w:tc>
      </w:tr>
      <w:tr>
        <w:trPr>
          <w:trHeight w:val="21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principal payments required</w:t>
            </w:r>
          </w:p>
        </w:tc>
        <w:tc>
          <w:tcPr>
            <w:tcW w:w="3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1,190.0</w:t>
            </w:r>
          </w:p>
        </w:tc>
      </w:tr>
      <w:tr>
        <w:trPr>
          <w:trHeight w:val="22"/>
        </w:trPr>
        <w:tc>
          <w:tcPr>
            <w:tcW w:w="592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Covenants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in compliance with all covenants under the company’s outstanding indebtedness as of February 2, 2024.</w:t>
      </w:r>
    </w:p>
    <w:p>
      <w:pPr>
        <w:spacing w:after="0" w:line="142" w:lineRule="exact"/>
        <w:rPr>
          <w:sz w:val="20"/>
          <w:szCs w:val="20"/>
          <w:color w:val="auto"/>
        </w:rPr>
      </w:pPr>
    </w:p>
    <w:p>
      <w:pPr>
        <w:ind w:left="600" w:hanging="579"/>
        <w:spacing w:after="0"/>
        <w:tabs>
          <w:tab w:leader="none" w:pos="600" w:val="left"/>
        </w:tabs>
        <w:numPr>
          <w:ilvl w:val="0"/>
          <w:numId w:val="10"/>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Inventories, Net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uses a combination of inventory valuation methods. Inventories are valued at the lower of cost or net realizable value, with cost determined by the first-in, first-out ("FIFO") and average cost methods for certain of the company's inventories. All remaining inventories are valued at the lower of cost or market, with cost determined under the last-in, first-out ("LIFO")</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method. As needed,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net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0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work in process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431.0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w:t>
            </w:r>
          </w:p>
        </w:tc>
      </w:tr>
      <w:tr>
        <w:trPr>
          <w:trHeight w:val="217"/>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Finished goods and service parts</w:t>
            </w:r>
          </w:p>
        </w:tc>
        <w:tc>
          <w:tcPr>
            <w:tcW w:w="20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902.8</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803.0</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844.2</w:t>
            </w:r>
          </w:p>
        </w:tc>
      </w:tr>
      <w:tr>
        <w:trPr>
          <w:trHeight w:val="21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FIFO and average cost value</w:t>
            </w:r>
          </w:p>
        </w:tc>
        <w:tc>
          <w:tcPr>
            <w:tcW w:w="20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1,333.8</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1,301.3</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1,244.5</w:t>
            </w:r>
          </w:p>
        </w:tc>
      </w:tr>
      <w:tr>
        <w:trPr>
          <w:trHeight w:val="217"/>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adjustment to LIFO value</w:t>
            </w:r>
          </w:p>
        </w:tc>
        <w:tc>
          <w:tcPr>
            <w:tcW w:w="20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156.7</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w:t>
            </w:r>
          </w:p>
        </w:tc>
      </w:tr>
      <w:tr>
        <w:trPr>
          <w:trHeight w:val="238"/>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 net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1,177.1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1,087.8</w:t>
            </w:r>
          </w:p>
        </w:tc>
      </w:tr>
      <w:tr>
        <w:trPr>
          <w:trHeight w:val="20"/>
        </w:trPr>
        <w:tc>
          <w:tcPr>
            <w:tcW w:w="42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600" w:hanging="579"/>
        <w:spacing w:after="0"/>
        <w:tabs>
          <w:tab w:leader="none" w:pos="600" w:val="left"/>
        </w:tabs>
        <w:numPr>
          <w:ilvl w:val="0"/>
          <w:numId w:val="11"/>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Property, Plant, and Equipment, Net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and leasehold improvements are generally depreciated over 10 to 40 years, machinery and equipment are generally depreciated over three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expensed as incurred within cost of sales or selling, general and administrative expense in the Condensed Consolidated Statements of Earnings depending on the nature and use of the related asset. Interest is capitalized during the construction period for significant capital projects.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net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9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r>
      <w:tr>
        <w:trPr>
          <w:trHeight w:val="21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19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2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327.7</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19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625.6</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559.8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624.6</w:t>
            </w:r>
          </w:p>
        </w:tc>
      </w:tr>
      <w:tr>
        <w:trPr>
          <w:trHeight w:val="21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Tooling</w:t>
            </w:r>
          </w:p>
        </w:tc>
        <w:tc>
          <w:tcPr>
            <w:tcW w:w="19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2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227.0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19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105.5</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r>
      <w:tr>
        <w:trPr>
          <w:trHeight w:val="217"/>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process</w:t>
            </w:r>
          </w:p>
        </w:tc>
        <w:tc>
          <w:tcPr>
            <w:tcW w:w="1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169.1</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w:t>
            </w:r>
          </w:p>
        </w:tc>
      </w:tr>
      <w:tr>
        <w:trPr>
          <w:trHeight w:val="216"/>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1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1,562.6</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1,450.5</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1,541.0</w:t>
            </w:r>
          </w:p>
        </w:tc>
      </w:tr>
      <w:tr>
        <w:trPr>
          <w:trHeight w:val="217"/>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923.4</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866.4</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899.3</w:t>
            </w:r>
          </w:p>
        </w:tc>
      </w:tr>
      <w:tr>
        <w:trPr>
          <w:trHeight w:val="238"/>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584.1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641.7</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600" w:hanging="579"/>
        <w:spacing w:after="0"/>
        <w:tabs>
          <w:tab w:leader="none" w:pos="600" w:val="left"/>
        </w:tabs>
        <w:numPr>
          <w:ilvl w:val="0"/>
          <w:numId w:val="12"/>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Product Warranty Guarantees</w:t>
      </w:r>
    </w:p>
    <w:p>
      <w:pPr>
        <w:spacing w:after="0" w:line="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3,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At the time of sale, the company recognizes expense and records an accrual by product line for estimated costs in connection with forecasted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Additionally, from time to time, the company may also establish warranty accruals for its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accrued warranties were as follows:</w:t>
      </w:r>
    </w:p>
    <w:p>
      <w:pPr>
        <w:spacing w:after="0" w:line="144"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9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3, 2023</w:t>
            </w:r>
          </w:p>
        </w:tc>
      </w:tr>
      <w:tr>
        <w:trPr>
          <w:trHeight w:val="21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w:t>
            </w:r>
          </w:p>
        </w:tc>
      </w:tr>
      <w:tr>
        <w:trPr>
          <w:trHeight w:val="217"/>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accrual related to warranties issued during the period</w:t>
            </w:r>
          </w:p>
        </w:tc>
        <w:tc>
          <w:tcPr>
            <w:tcW w:w="196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16.7</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made during the period</w:t>
            </w:r>
          </w:p>
        </w:tc>
        <w:tc>
          <w:tcPr>
            <w:tcW w:w="19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7"/>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Changes in accrual related to pre-existing warranties</w:t>
            </w:r>
          </w:p>
        </w:tc>
        <w:tc>
          <w:tcPr>
            <w:tcW w:w="19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38"/>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r>
      <w:tr>
        <w:trPr>
          <w:trHeight w:val="20"/>
        </w:trPr>
        <w:tc>
          <w:tcPr>
            <w:tcW w:w="60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600" w:hanging="579"/>
        <w:spacing w:after="0"/>
        <w:tabs>
          <w:tab w:leader="none" w:pos="600" w:val="left"/>
        </w:tabs>
        <w:numPr>
          <w:ilvl w:val="0"/>
          <w:numId w:val="13"/>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Investment in Joint Venture</w:t>
      </w:r>
    </w:p>
    <w:p>
      <w:pPr>
        <w:spacing w:after="0" w:line="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The company is party to a joint venture with Huntington Distribution Finance, Inc. ("HDF"), a subsidiary of The Huntington National Bank, established as Red Iron Acceptance, LLC ("Red Iron"), the primary purpose of which is to provide customer inventory financing to certain distributors and dealers of certain of the company’s products in the U.S. The company has also entered into a limited inventory repurchase agreement with Red Iron. For additional information regarding the customer financing aspect of the arrangement, as well as the limited inventory purchase agreement, refer to Note 13,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w:t>
      </w:r>
    </w:p>
    <w:p>
      <w:pPr>
        <w:spacing w:after="0" w:line="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owns 45 percent of Red Iron and HDF owns 55 percent of Red Iron. The company accounts for its investment in Red Iron under the equity method of accounting. The company and HDF each contributed a specified amount of the estimated cash required to enable Red Iron to purchase the company's floor plan financing receivables and to provide financial support for Red Iron's floor plan financing programs. Red Iron borrows the remaining requisite estimated cash utilizing an $1,350.0 million secured revolving credit facility established under a credit agreement between Red Iron and HDF. The company's total investment in Red Iron as of February 2, 2024, February 3, 2023 and October 31, 2023 was $48.4 million, $45.7 million, and $50.6 million, respectively. The company has not guaranteed the outstanding indebtedness of Red Iron.</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10 </w:t>
      </w:r>
      <w:r>
        <w:rPr>
          <w:rFonts w:ascii="Times New Roman" w:cs="Times New Roman" w:eastAsia="Times New Roman" w:hAnsi="Times New Roman"/>
          <w:sz w:val="18"/>
          <w:szCs w:val="18"/>
          <w:b w:val="1"/>
          <w:bCs w:val="1"/>
          <w:color w:val="auto"/>
        </w:rPr>
        <w:t>Stock-Based Compensation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costs related to stock-based compensation awards were as follows:</w:t>
      </w:r>
    </w:p>
    <w:p>
      <w:pPr>
        <w:spacing w:after="0" w:line="144"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0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3, 2023</w:t>
            </w:r>
          </w:p>
        </w:tc>
      </w:tr>
      <w:tr>
        <w:trPr>
          <w:trHeight w:val="214"/>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awards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7"/>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 share awards</w:t>
            </w:r>
          </w:p>
        </w:tc>
        <w:tc>
          <w:tcPr>
            <w:tcW w:w="20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 awards</w:t>
            </w:r>
          </w:p>
        </w:tc>
        <w:tc>
          <w:tcPr>
            <w:tcW w:w="20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7"/>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Unrestricted common stock awards</w:t>
            </w:r>
          </w:p>
        </w:tc>
        <w:tc>
          <w:tcPr>
            <w:tcW w:w="20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0.6</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8"/>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compensation cost for stock-based compensation awards</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0"/>
        </w:trPr>
        <w:tc>
          <w:tcPr>
            <w:tcW w:w="60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 Awards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("Board") on an annual basis in the first quarter of the company’s fiscal year but may also be granted throughout the fiscal year in connection with hiring, mid-year promotions, leadership transition, or retention, as needed and applicable. Options generally vest one-third each year over a three-year period and have a 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 recognized for other employees not considered executive officers and non-employee Board members is net of estimated forfeitures, which are determined at the time of grant based on historical forfeiture experience. Stock options granted to executive officers and other employees are subject to accelerated expensing if the option holder meets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retirement definition set forth in the company's stock-based compensation plans.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Board member has served on the company's Board for ten full fiscal years or more, the awards will not be forfeited but continue to vest according to their schedule following retirement. Therefore, the fair value of the options granted is fully expensed on the date of the grant.</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spacing w:after="0" w:line="7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table below illustrates the weighted-average valuation assumptions used under the Black-Scholes valuation method for options granted in the first three months of the following fiscal periods: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920" w:type="dxa"/>
            <w:vAlign w:val="bottom"/>
            <w:tcBorders>
              <w:top w:val="single" w:sz="8" w:color="auto"/>
              <w:bottom w:val="single" w:sz="8" w:color="auto"/>
            </w:tcBorders>
          </w:tcPr>
          <w:p>
            <w:pPr>
              <w:spacing w:after="0"/>
              <w:rPr>
                <w:sz w:val="20"/>
                <w:szCs w:val="20"/>
                <w:color w:val="auto"/>
              </w:rPr>
            </w:pPr>
          </w:p>
        </w:tc>
        <w:tc>
          <w:tcPr>
            <w:tcW w:w="3640" w:type="dxa"/>
            <w:vAlign w:val="bottom"/>
            <w:tcBorders>
              <w:top w:val="single" w:sz="8" w:color="auto"/>
              <w:bottom w:val="single" w:sz="8" w:color="auto"/>
            </w:tcBorders>
          </w:tcPr>
          <w:p>
            <w:pPr>
              <w:ind w:left="2380"/>
              <w:spacing w:after="0"/>
              <w:rPr>
                <w:sz w:val="20"/>
                <w:szCs w:val="20"/>
                <w:color w:val="auto"/>
              </w:rPr>
            </w:pPr>
            <w:r>
              <w:rPr>
                <w:rFonts w:ascii="Times New Roman" w:cs="Times New Roman" w:eastAsia="Times New Roman" w:hAnsi="Times New Roman"/>
                <w:sz w:val="16"/>
                <w:szCs w:val="16"/>
                <w:b w:val="1"/>
                <w:bCs w:val="1"/>
                <w:color w:val="auto"/>
              </w:rPr>
              <w:t>Fiscal 2024</w:t>
            </w:r>
          </w:p>
        </w:tc>
        <w:tc>
          <w:tcPr>
            <w:tcW w:w="16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Fiscal 2023</w:t>
            </w:r>
          </w:p>
        </w:tc>
      </w:tr>
      <w:tr>
        <w:trPr>
          <w:trHeight w:val="214"/>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life of option in years</w:t>
            </w:r>
          </w:p>
        </w:tc>
        <w:tc>
          <w:tcPr>
            <w:tcW w:w="3640" w:type="dxa"/>
            <w:vAlign w:val="bottom"/>
            <w:shd w:val="clear" w:color="auto" w:fill="CCEEFF"/>
          </w:tcPr>
          <w:p>
            <w:pPr>
              <w:jc w:val="center"/>
              <w:ind w:left="1818"/>
              <w:spacing w:after="0"/>
              <w:rPr>
                <w:sz w:val="20"/>
                <w:szCs w:val="20"/>
                <w:color w:val="auto"/>
              </w:rPr>
            </w:pPr>
            <w:r>
              <w:rPr>
                <w:rFonts w:ascii="Times New Roman" w:cs="Times New Roman" w:eastAsia="Times New Roman" w:hAnsi="Times New Roman"/>
                <w:sz w:val="16"/>
                <w:szCs w:val="16"/>
                <w:color w:val="auto"/>
              </w:rPr>
              <w:t>6.38</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6.32</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3640" w:type="dxa"/>
            <w:vAlign w:val="bottom"/>
          </w:tcPr>
          <w:p>
            <w:pPr>
              <w:jc w:val="center"/>
              <w:ind w:left="1818"/>
              <w:spacing w:after="0"/>
              <w:rPr>
                <w:sz w:val="20"/>
                <w:szCs w:val="20"/>
                <w:color w:val="auto"/>
              </w:rPr>
            </w:pPr>
            <w:r>
              <w:rPr>
                <w:rFonts w:ascii="Times New Roman" w:cs="Times New Roman" w:eastAsia="Times New Roman" w:hAnsi="Times New Roman"/>
                <w:sz w:val="16"/>
                <w:szCs w:val="16"/>
                <w:color w:val="auto"/>
              </w:rPr>
              <w:t>26.75%</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25.19%</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3640" w:type="dxa"/>
            <w:vAlign w:val="bottom"/>
            <w:shd w:val="clear" w:color="auto" w:fill="CCEEFF"/>
          </w:tcPr>
          <w:p>
            <w:pPr>
              <w:jc w:val="center"/>
              <w:ind w:left="1818"/>
              <w:spacing w:after="0"/>
              <w:rPr>
                <w:sz w:val="20"/>
                <w:szCs w:val="20"/>
                <w:color w:val="auto"/>
              </w:rPr>
            </w:pPr>
            <w:r>
              <w:rPr>
                <w:rFonts w:ascii="Times New Roman" w:cs="Times New Roman" w:eastAsia="Times New Roman" w:hAnsi="Times New Roman"/>
                <w:sz w:val="16"/>
                <w:szCs w:val="16"/>
                <w:color w:val="auto"/>
              </w:rPr>
              <w:t>3.94%</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3.79%</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3640" w:type="dxa"/>
            <w:vAlign w:val="bottom"/>
          </w:tcPr>
          <w:p>
            <w:pPr>
              <w:jc w:val="center"/>
              <w:ind w:left="1818"/>
              <w:spacing w:after="0"/>
              <w:rPr>
                <w:sz w:val="20"/>
                <w:szCs w:val="20"/>
                <w:color w:val="auto"/>
              </w:rPr>
            </w:pPr>
            <w:r>
              <w:rPr>
                <w:rFonts w:ascii="Times New Roman" w:cs="Times New Roman" w:eastAsia="Times New Roman" w:hAnsi="Times New Roman"/>
                <w:sz w:val="16"/>
                <w:szCs w:val="16"/>
                <w:color w:val="auto"/>
              </w:rPr>
              <w:t>1.15%</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0.95%</w:t>
            </w:r>
          </w:p>
        </w:tc>
      </w:tr>
      <w:tr>
        <w:trPr>
          <w:trHeight w:val="220"/>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weighted-average fair value at date of grant</w:t>
            </w:r>
          </w:p>
        </w:tc>
        <w:tc>
          <w:tcPr>
            <w:tcW w:w="3640" w:type="dxa"/>
            <w:vAlign w:val="bottom"/>
            <w:tcBorders>
              <w:bottom w:val="single" w:sz="8" w:color="auto"/>
            </w:tcBorders>
            <w:shd w:val="clear" w:color="auto" w:fill="CCEEFF"/>
          </w:tcPr>
          <w:p>
            <w:pPr>
              <w:jc w:val="center"/>
              <w:ind w:left="1818"/>
              <w:spacing w:after="0"/>
              <w:rPr>
                <w:sz w:val="20"/>
                <w:szCs w:val="20"/>
                <w:color w:val="auto"/>
              </w:rPr>
            </w:pPr>
            <w:r>
              <w:rPr>
                <w:rFonts w:ascii="Times New Roman" w:cs="Times New Roman" w:eastAsia="Times New Roman" w:hAnsi="Times New Roman"/>
                <w:sz w:val="16"/>
                <w:szCs w:val="16"/>
                <w:color w:val="auto"/>
              </w:rPr>
              <w:t>$30.42</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$33.23</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Share Awards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which is equal to the closing price of the company's common stock on the date of grant, and the probability of achieving each performance goal. The per share weighted-average fair value of performance share awards granted during the first quarter of fiscal 2024 and 2023 was $99.60 and $112.14,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Awards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Restricted stock unit awards are generally granted to certain employees who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 The per share weighted-average fair value of restricted stock unit awards granted during the first three months of fiscal 2024 and 2023 was $98.73 and $109.78,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Unrestricted Common Stock Awards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During the first three months of fiscal 2024 and 2023, 7,544 and 10,329 shares, respectively, of fully vested unrestricted common stock awards were granted to certain Board members as a component of their compensation for their service on the Board and were recorded within selling, general and administrative expense in the Condensed Consolidated Statements of Earnings. Additionally, the Company's Board members may elect to convert a portion or all of their calendar year annual retainers otherwise payable in cash into shares of the company's common stock.</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11 </w:t>
      </w:r>
      <w:r>
        <w:rPr>
          <w:rFonts w:ascii="Times New Roman" w:cs="Times New Roman" w:eastAsia="Times New Roman" w:hAnsi="Times New Roman"/>
          <w:sz w:val="18"/>
          <w:szCs w:val="18"/>
          <w:b w:val="1"/>
          <w:bCs w:val="1"/>
          <w:color w:val="auto"/>
        </w:rPr>
        <w:t>Stockholders' Equity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Loss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components of accumulated other comprehensive loss ("AOCL"), net of tax, within the Condensed Consolidated Statements of Stockholders' Equity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76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2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2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34.4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r>
      <w:tr>
        <w:trPr>
          <w:trHeight w:val="21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benefits</w:t>
            </w:r>
          </w:p>
        </w:tc>
        <w:tc>
          <w:tcPr>
            <w:tcW w:w="1760" w:type="dxa"/>
            <w:vAlign w:val="bottom"/>
          </w:tcPr>
          <w:p>
            <w:pPr>
              <w:spacing w:after="0"/>
              <w:rPr>
                <w:sz w:val="18"/>
                <w:szCs w:val="18"/>
                <w:color w:val="auto"/>
              </w:rPr>
            </w:pPr>
          </w:p>
        </w:tc>
        <w:tc>
          <w:tcPr>
            <w:tcW w:w="15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Pr>
          <w:p>
            <w:pPr>
              <w:spacing w:after="0"/>
              <w:rPr>
                <w:sz w:val="18"/>
                <w:szCs w:val="18"/>
                <w:color w:val="auto"/>
              </w:rPr>
            </w:pPr>
          </w:p>
        </w:tc>
        <w:tc>
          <w:tcPr>
            <w:tcW w:w="15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20"/>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derivative instruments</w:t>
            </w:r>
          </w:p>
        </w:tc>
        <w:tc>
          <w:tcPr>
            <w:tcW w:w="17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3"/>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35.0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28.6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2"/>
        </w:trPr>
        <w:tc>
          <w:tcPr>
            <w:tcW w:w="4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and activity of AOCL, net of tax, for the three month periods ended February 2, 2024 and February 3, 2023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38"/>
              <w:spacing w:after="0" w:line="16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5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6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41.7</w:t>
            </w:r>
          </w:p>
        </w:tc>
        <w:tc>
          <w:tcPr>
            <w:tcW w:w="3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17"/>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3.0</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2.3</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5.3</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8"/>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February 2,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34.4</w:t>
            </w:r>
          </w:p>
        </w:tc>
        <w:tc>
          <w:tcPr>
            <w:tcW w:w="3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jc w:val="right"/>
              <w:ind w:right="438"/>
              <w:spacing w:after="0" w:line="14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Pr>
          <w:p>
            <w:pPr>
              <w:spacing w:after="0"/>
              <w:rPr>
                <w:sz w:val="14"/>
                <w:szCs w:val="14"/>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840" w:type="dxa"/>
            <w:vAlign w:val="bottom"/>
          </w:tcPr>
          <w:p>
            <w:pPr>
              <w:spacing w:after="0"/>
              <w:rPr>
                <w:sz w:val="14"/>
                <w:szCs w:val="14"/>
                <w:color w:val="auto"/>
              </w:rPr>
            </w:pPr>
          </w:p>
        </w:tc>
        <w:tc>
          <w:tcPr>
            <w:tcW w:w="1300" w:type="dxa"/>
            <w:vAlign w:val="bottom"/>
          </w:tcPr>
          <w:p>
            <w:pPr>
              <w:jc w:val="center"/>
              <w:ind w:right="138"/>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58"/>
              <w:spacing w:after="0" w:line="16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9"/>
        </w:trPr>
        <w:tc>
          <w:tcPr>
            <w:tcW w:w="46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51.3</w:t>
            </w:r>
          </w:p>
        </w:tc>
        <w:tc>
          <w:tcPr>
            <w:tcW w:w="3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3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17"/>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21.6</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16.7</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38"/>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February 3, 2023</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30.1</w:t>
            </w:r>
          </w:p>
        </w:tc>
        <w:tc>
          <w:tcPr>
            <w:tcW w:w="3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6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 xml:space="preserve">For additional information on the components reclassified from AOCL to the respective line items in net earnings for derivative instruments refer to Note 15, </w:t>
      </w:r>
      <w:r>
        <w:rPr>
          <w:rFonts w:ascii="Times New Roman" w:cs="Times New Roman" w:eastAsia="Times New Roman" w:hAnsi="Times New Roman"/>
          <w:sz w:val="17"/>
          <w:szCs w:val="17"/>
          <w:i w:val="1"/>
          <w:iCs w:val="1"/>
          <w:color w:val="auto"/>
        </w:rPr>
        <w:t>Derivative Instruments and Hedging Activities</w:t>
      </w:r>
      <w:r>
        <w:rPr>
          <w:rFonts w:ascii="Times New Roman" w:cs="Times New Roman" w:eastAsia="Times New Roman" w:hAnsi="Times New Roman"/>
          <w:sz w:val="17"/>
          <w:szCs w:val="17"/>
          <w:color w:val="auto"/>
        </w:rPr>
        <w: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12 </w:t>
      </w:r>
      <w:r>
        <w:rPr>
          <w:rFonts w:ascii="Times New Roman" w:cs="Times New Roman" w:eastAsia="Times New Roman" w:hAnsi="Times New Roman"/>
          <w:sz w:val="18"/>
          <w:szCs w:val="18"/>
          <w:b w:val="1"/>
          <w:bCs w:val="1"/>
          <w:color w:val="auto"/>
        </w:rPr>
        <w:t>Per Share Data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Reconciliation of basic and diluted weighted-average number of shares of common stock outstanding was as follows:</w:t>
      </w:r>
    </w:p>
    <w:p>
      <w:pPr>
        <w:spacing w:after="0" w:line="144"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(Shares in millions)</w:t>
            </w:r>
          </w:p>
        </w:tc>
        <w:tc>
          <w:tcPr>
            <w:tcW w:w="310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160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3, 2023</w:t>
            </w:r>
          </w:p>
        </w:tc>
      </w:tr>
      <w:tr>
        <w:trPr>
          <w:trHeight w:val="21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31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104.4</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w:t>
            </w:r>
          </w:p>
        </w:tc>
      </w:tr>
      <w:tr>
        <w:trPr>
          <w:trHeight w:val="217"/>
        </w:trPr>
        <w:tc>
          <w:tcPr>
            <w:tcW w:w="6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Effect of dilutive shares</w:t>
            </w:r>
          </w:p>
        </w:tc>
        <w:tc>
          <w:tcPr>
            <w:tcW w:w="31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0.3</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8"/>
        </w:trPr>
        <w:tc>
          <w:tcPr>
            <w:tcW w:w="6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31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104.7</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r>
      <w:tr>
        <w:trPr>
          <w:trHeight w:val="20"/>
        </w:trPr>
        <w:tc>
          <w:tcPr>
            <w:tcW w:w="6540" w:type="dxa"/>
            <w:vAlign w:val="bottom"/>
            <w:tcBorders>
              <w:top w:val="single" w:sz="8" w:color="CCEEFF"/>
              <w:bottom w:val="single" w:sz="8" w:color="auto"/>
            </w:tcBorders>
          </w:tcPr>
          <w:p>
            <w:pPr>
              <w:spacing w:after="0" w:line="20" w:lineRule="exact"/>
              <w:rPr>
                <w:sz w:val="1"/>
                <w:szCs w:val="1"/>
                <w:color w:val="auto"/>
              </w:rPr>
            </w:pPr>
          </w:p>
        </w:tc>
        <w:tc>
          <w:tcPr>
            <w:tcW w:w="3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effect of dilutive shares from stock option awards and restricted stock unit awards is computed under the treasury stock method. Stock option awards to purchase 850,327 and 268,737 shares of common stock during the first quarter of fiscal 2024 and 2023, respectively, were excluded from the computation of diluted net earnings per share of common stock because they were anti-dilutive.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13 </w:t>
      </w:r>
      <w:r>
        <w:rPr>
          <w:rFonts w:ascii="Times New Roman" w:cs="Times New Roman" w:eastAsia="Times New Roman" w:hAnsi="Times New Roman"/>
          <w:sz w:val="18"/>
          <w:szCs w:val="18"/>
          <w:b w:val="1"/>
          <w:bCs w:val="1"/>
          <w:color w:val="auto"/>
        </w:rPr>
        <w:t>Commitments and Contingencies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Financing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Financing</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is party to inventory financing arrangements with Red Iron, Huntington Commercial Finance Canada, Inc. ("HCFC"), and other third-party financial institutions (collectively, the "financial institutions") which provide inventory financing to certain dealers and distributors of certain of the company's products in the U.S. and internationally. These financing arrangements are structured as an advance in the form of a payment by the financial institutions to the company on behalf of a distributor or dealer with respect to invoices financed by the financial institution. These payments extinguish the obligation of the dealer or distributor to make payment to the company under the terms of the applicable invoice.</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Under separate agreements between the financial institutions and the dealers and distributors, the financial institutions provide loans to the dealers and distributors for the advances paid by the financial institutions to the company. Under these financing arrangements, down payments are not required, and depending on the finance program for each product line, finance charges are incurred by the company, shared between the company and the distributor and/or the dealer, or paid by the distributor or dealer. The financial institutions retain a security interest in the distributors' and dealers' financed inventories and such inventories are monitored regularly through audits. Financing terms to the distributors and dealers require payment as the inventory, which secures the indebtedness, is sold to end-users or when payment otherwise become due under the agreements between the financial institutions and the distributors and dealers, whichever occurs first. Rates are generally indexed to the Secured Overnight Financing Rate ("SOFR"), or an alternative variable rate, plus a fixed percentage that differs based on whether the financing is for a distributor or dealer. Rates may also vary based on the product that is financed.</w:t>
      </w:r>
    </w:p>
    <w:p>
      <w:pPr>
        <w:spacing w:after="0" w:line="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this arrangement with Red Iron for the three months ended February 2, 2024 and February 3, 2023 were $425.6 million and $674.4 million, respectively. The total amount of net receivables outstanding under this arrangement with Red Iron as of February 2, 2024, February 3, 2023, and October 31, 2023 were $963.9 million, $942.0 million and $1,019.0 million, respectively. The total amount of receivables due from Red Iron to the company as of February 2, 2024, February 3, 2023, and October 31, 2023 were $25.6 million, $17.3 million and $34.4 million, respectively.</w:t>
      </w:r>
    </w:p>
    <w:p>
      <w:pPr>
        <w:spacing w:after="0" w:line="2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arrangements with HCFC and the other third-party financial institutions for the three months ended February 2, 2024 and February 3, 2023 were $131.0 million and $111.3 million, respectively. As of February 2, 2024, February 3, 2023, and October 31, 2023, $202.6 million, $166.1 million and $234.7 million, respectively, of receivables financed by HCFC and the other third-party financial institutions were outstanding.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Repurchase Agreements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has entered into a limited inventory repurchase agreement with Red Iron and HCFC under which the company has agreed to repurchase certain repossessed products, up to a maximum aggregate amount of $7.5 million in a calendar year. Additionally, as a result of the company's floor plan financing agreements with the other third-party financial institutions, the company also entered into inventory repurchase agreements with the other third-party financial institutions. Under such inventory repurchase agreements, the company has agreed to repurchase products repossessed by the other third-party financial institutions. As of February 2, 2024, February 3, 2023 and October 31, 2023, the company was contingently liable to repurchase up to a maximum amount of $28.7 million, $79.4 million, and $32.2 million, respectively, of inventory related to receivables under these inventory repurchase agreements. The company's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The company has repurchased immaterial amounts of inventory pursuant to such arrangements for the three months ended February 2, 2024 and February 3, 2023.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Supplier Finance Program</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has a supply chain finance service agreement with a third-party financial institution to provide a web-based platform that facilitates the ability of participating suppliers to finance payment obligations from the company with the third-party financial institution. Participating suppliers may, at their sole discretion, make offers to finance one or more payment obligations of the company prior to their scheduled due dates at a discounted price to the third-party financial institution. The company's obligations to its suppliers, including amounts due and scheduled payment dates, are not affected by suppliers' decisions to finance amounts under this supply chain finance arrangement. The company guarantees its payment obligations under the supply chain finance arrangement with the third-party financial institution. The company does not pledge assets as security to the suppliers or the third-party financial institution. As of February 2, 2024, February 3, 2023 and October 31, 2023, $103.2 million, $159.7 million, and $99.6 million, respectively, of the company's outstanding payment obligations were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financed by participating suppliers through the third-party financial institution's supply chain finance web-based platform. These obligations are presented within accounts payable in the Condensed Consolidated Balance Sheets.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occasionally involved in commercial disputes, employment or employment-related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the company's consolidated results of operations, financial position, or cash flows.</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Condensed Consolidated Financial Statements prior to the settlement of the underlying events or contingencies associated with the gain contingency. As a result, the consideration related to a gain contingency is recorded in the Condensed Consolidated Financial Statements during the period in which all underlying events or contingencies are resolved and the gain is realized.</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14 </w:t>
      </w:r>
      <w:r>
        <w:rPr>
          <w:rFonts w:ascii="Times New Roman" w:cs="Times New Roman" w:eastAsia="Times New Roman" w:hAnsi="Times New Roman"/>
          <w:sz w:val="18"/>
          <w:szCs w:val="18"/>
          <w:b w:val="1"/>
          <w:bCs w:val="1"/>
          <w:color w:val="auto"/>
        </w:rPr>
        <w:t>Leases</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generally includes all non-cancelable periods. Lease expense for the company's operating leases is recognized on a straight-line basis over the lease term and is recorded within cost of sales or selling, general and administrative expense within the Condensed Consolidated Statements of Earnings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Lease payments are determined at lease commencement and generally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generally discounted to present value based the estimated incremental borrowing rate at lease commencement as the rate implicit in the lease is generally not readily determinable.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lease expense incurred on the company’s operating, short-term, and variable leases:</w:t>
      </w:r>
    </w:p>
    <w:p>
      <w:pPr>
        <w:spacing w:after="0" w:line="144"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3, 2023</w:t>
            </w:r>
          </w:p>
        </w:tc>
      </w:tr>
      <w:tr>
        <w:trPr>
          <w:trHeight w:val="21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7"/>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Short-term lease expense</w:t>
            </w:r>
          </w:p>
        </w:tc>
        <w:tc>
          <w:tcPr>
            <w:tcW w:w="3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38"/>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expense</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supplemental cash flow information related to the company's operating leases:</w:t>
      </w:r>
    </w:p>
    <w:p>
      <w:pPr>
        <w:spacing w:after="0" w:line="144"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3, 2023</w:t>
            </w:r>
          </w:p>
        </w:tc>
      </w:tr>
      <w:tr>
        <w:trPr>
          <w:trHeight w:val="21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7"/>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Operating cash flows for amounts included in the measurement of lease liabilities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other lease information related to the company's operating leases: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80" w:type="dxa"/>
            <w:vAlign w:val="bottom"/>
            <w:tcBorders>
              <w:top w:val="single" w:sz="8" w:color="auto"/>
              <w:bottom w:val="single" w:sz="8" w:color="auto"/>
            </w:tcBorders>
          </w:tcPr>
          <w:p>
            <w:pPr>
              <w:spacing w:after="0"/>
              <w:rPr>
                <w:sz w:val="20"/>
                <w:szCs w:val="20"/>
                <w:color w:val="auto"/>
              </w:rPr>
            </w:pPr>
          </w:p>
        </w:tc>
        <w:tc>
          <w:tcPr>
            <w:tcW w:w="248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182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164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of operating leases in years</w:t>
            </w:r>
          </w:p>
        </w:tc>
        <w:tc>
          <w:tcPr>
            <w:tcW w:w="24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9.2</w:t>
            </w:r>
          </w:p>
        </w:tc>
        <w:tc>
          <w:tcPr>
            <w:tcW w:w="1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5.8</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7"/>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 of operating leases</w:t>
            </w:r>
          </w:p>
        </w:tc>
        <w:tc>
          <w:tcPr>
            <w:tcW w:w="24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4.87 %</w:t>
            </w:r>
          </w:p>
        </w:tc>
        <w:tc>
          <w:tcPr>
            <w:tcW w:w="1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3.61 %</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4.83 %</w:t>
            </w:r>
          </w:p>
        </w:tc>
      </w:tr>
    </w:tbl>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February 2, 2024:</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36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2, 2024</w:t>
            </w:r>
          </w:p>
        </w:tc>
      </w:tr>
      <w:tr>
        <w:trPr>
          <w:trHeight w:val="21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(remaining)</w:t>
            </w: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1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7"/>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future minimum operating lease payments</w:t>
            </w:r>
          </w:p>
        </w:tc>
        <w:tc>
          <w:tcPr>
            <w:tcW w:w="3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w:t>
            </w:r>
          </w:p>
        </w:tc>
      </w:tr>
      <w:tr>
        <w:trPr>
          <w:trHeight w:val="217"/>
        </w:trPr>
        <w:tc>
          <w:tcPr>
            <w:tcW w:w="6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3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38"/>
        </w:trPr>
        <w:tc>
          <w:tcPr>
            <w:tcW w:w="6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3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r>
      <w:tr>
        <w:trPr>
          <w:trHeight w:val="20"/>
        </w:trPr>
        <w:tc>
          <w:tcPr>
            <w:tcW w:w="6380" w:type="dxa"/>
            <w:vAlign w:val="bottom"/>
            <w:tcBorders>
              <w:top w:val="single" w:sz="8" w:color="CCEEFF"/>
              <w:bottom w:val="single" w:sz="8" w:color="auto"/>
            </w:tcBorders>
          </w:tcPr>
          <w:p>
            <w:pPr>
              <w:spacing w:after="0" w:line="20" w:lineRule="exact"/>
              <w:rPr>
                <w:sz w:val="1"/>
                <w:szCs w:val="1"/>
                <w:color w:val="auto"/>
              </w:rPr>
            </w:pPr>
          </w:p>
        </w:tc>
        <w:tc>
          <w:tcPr>
            <w:tcW w:w="3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15 </w:t>
      </w:r>
      <w:r>
        <w:rPr>
          <w:rFonts w:ascii="Times New Roman" w:cs="Times New Roman" w:eastAsia="Times New Roman" w:hAnsi="Times New Roman"/>
          <w:sz w:val="18"/>
          <w:szCs w:val="18"/>
          <w:b w:val="1"/>
          <w:bCs w:val="1"/>
          <w:color w:val="auto"/>
        </w:rPr>
        <w:t>Derivative Instruments and Hedging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Objective of Using Derivatives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6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To reduce its exposure to foreign currency exchange rate risk, the company enters into various derivative instruments to hedge against such risk, authorized under a company policy that places controls on these hedging activities, with counterparties that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 Hedging Instruments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 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forecasted trade sales and purchases is two years.</w:t>
      </w:r>
    </w:p>
    <w:p>
      <w:pPr>
        <w:spacing w:after="0" w:line="2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February 2, 2024, the notional amount outstanding of forward currency contracts designated as cash flow hedging instruments was $368.6 million.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Derivatives Not Designated as Cash Flow Hedging Instruments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fair value and location of the company’s derivative instruments on the Condensed Consolidated Balance Sheets: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8"/>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23"/>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hedging instruments:</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51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derivative assets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2"/>
        </w:trPr>
        <w:tc>
          <w:tcPr>
            <w:tcW w:w="5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0"/>
        </w:trPr>
        <w:tc>
          <w:tcPr>
            <w:tcW w:w="5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2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8"/>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hedging instruments:</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7"/>
        </w:trPr>
        <w:tc>
          <w:tcPr>
            <w:tcW w:w="5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51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
        </w:trPr>
        <w:tc>
          <w:tcPr>
            <w:tcW w:w="5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Condensed Consolidated Balance Sheets.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effects of the master netting arrangements on the fair value of the company’s derivative instruments that are recorded 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Balance Sheets: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58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8"/>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tc>
        <w:tc>
          <w:tcPr>
            <w:tcW w:w="1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amount of derivative assets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7"/>
        </w:trPr>
        <w:tc>
          <w:tcPr>
            <w:tcW w:w="4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Derivative liabilities offsetting derivative assets</w:t>
            </w:r>
          </w:p>
        </w:tc>
        <w:tc>
          <w:tcPr>
            <w:tcW w:w="15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0.8</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of derivative assets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47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5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8"/>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tc>
        <w:tc>
          <w:tcPr>
            <w:tcW w:w="1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amount of derivative liabilities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Derivative assets offsetting derivative liabilities</w:t>
            </w:r>
          </w:p>
        </w:tc>
        <w:tc>
          <w:tcPr>
            <w:tcW w:w="15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of derivative liabilities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presents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months ended February 2, 2024 and February 3, 2023: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55"/>
        </w:trPr>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6"/>
                <w:szCs w:val="16"/>
                <w:b w:val="1"/>
                <w:bCs w:val="1"/>
                <w:color w:val="auto"/>
              </w:rPr>
              <w:t>Gain Reclassified from AOCL into</w:t>
            </w:r>
          </w:p>
        </w:tc>
        <w:tc>
          <w:tcPr>
            <w:tcW w:w="180" w:type="dxa"/>
            <w:vAlign w:val="bottom"/>
          </w:tcPr>
          <w:p>
            <w:pPr>
              <w:spacing w:after="0"/>
              <w:rPr>
                <w:sz w:val="13"/>
                <w:szCs w:val="13"/>
                <w:color w:val="auto"/>
              </w:rPr>
            </w:pPr>
          </w:p>
        </w:tc>
        <w:tc>
          <w:tcPr>
            <w:tcW w:w="2840" w:type="dxa"/>
            <w:vAlign w:val="bottom"/>
            <w:gridSpan w:val="3"/>
          </w:tcPr>
          <w:p>
            <w:pPr>
              <w:jc w:val="right"/>
              <w:ind w:right="198"/>
              <w:spacing w:after="0" w:line="155" w:lineRule="exact"/>
              <w:rPr>
                <w:sz w:val="20"/>
                <w:szCs w:val="20"/>
                <w:color w:val="auto"/>
              </w:rPr>
            </w:pPr>
            <w:r>
              <w:rPr>
                <w:rFonts w:ascii="Times New Roman" w:cs="Times New Roman" w:eastAsia="Times New Roman" w:hAnsi="Times New Roman"/>
                <w:sz w:val="16"/>
                <w:szCs w:val="16"/>
                <w:b w:val="1"/>
                <w:bCs w:val="1"/>
                <w:color w:val="auto"/>
              </w:rPr>
              <w:t>(Loss) Gain Recognized in OCI on</w:t>
            </w:r>
          </w:p>
        </w:tc>
      </w:tr>
      <w:tr>
        <w:trPr>
          <w:trHeight w:val="219"/>
        </w:trPr>
        <w:tc>
          <w:tcPr>
            <w:tcW w:w="5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Derivatives</w:t>
            </w:r>
          </w:p>
        </w:tc>
      </w:tr>
      <w:tr>
        <w:trPr>
          <w:trHeight w:val="212"/>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February 3, 2023</w:t>
            </w:r>
          </w:p>
        </w:tc>
      </w:tr>
      <w:tr>
        <w:trPr>
          <w:trHeight w:val="21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7"/>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3"/>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7"/>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Cost of sales</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38"/>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(5.3)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recognized immaterial gains and losses within other income, net in the Condensed Consolidated Statements of Earnings during the first quarter of fiscal 2024 and fiscal 2023, respectively, due to the discontinuance of cash flow hedge accounting on certain forward currency contracts designated as cash flow hedging instruments. As of February 2, 2024, the company expects to reclassify approximately $3.6 million of gains from AOCL to earnings during the next twelve months.</w:t>
      </w:r>
    </w:p>
    <w:p>
      <w:pPr>
        <w:spacing w:after="0" w:line="6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720" w:type="dxa"/>
            <w:vAlign w:val="bottom"/>
            <w:tcBorders>
              <w:bottom w:val="single" w:sz="8" w:color="auto"/>
            </w:tcBorders>
            <w:gridSpan w:val="7"/>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Gain Recognized in Earnings on Cash Flow Hedging Instruments</w:t>
            </w:r>
          </w:p>
        </w:tc>
        <w:tc>
          <w:tcPr>
            <w:tcW w:w="0" w:type="dxa"/>
            <w:vAlign w:val="bottom"/>
          </w:tcPr>
          <w:p>
            <w:pPr>
              <w:spacing w:after="0"/>
              <w:rPr>
                <w:sz w:val="1"/>
                <w:szCs w:val="1"/>
                <w:color w:val="auto"/>
              </w:rPr>
            </w:pPr>
          </w:p>
        </w:tc>
      </w:tr>
      <w:tr>
        <w:trPr>
          <w:trHeight w:val="219"/>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2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81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3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798"/>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0" w:type="dxa"/>
            <w:vAlign w:val="bottom"/>
          </w:tcPr>
          <w:p>
            <w:pPr>
              <w:spacing w:after="0"/>
              <w:rPr>
                <w:sz w:val="1"/>
                <w:szCs w:val="1"/>
                <w:color w:val="auto"/>
              </w:rPr>
            </w:pPr>
          </w:p>
        </w:tc>
      </w:tr>
      <w:tr>
        <w:trPr>
          <w:trHeight w:val="153"/>
        </w:trPr>
        <w:tc>
          <w:tcPr>
            <w:tcW w:w="524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6"/>
                <w:szCs w:val="16"/>
                <w:color w:val="auto"/>
              </w:rPr>
              <w:t>Condensed Consolidated Statements of Earnings income (expense) amounts</w:t>
            </w:r>
          </w:p>
        </w:tc>
        <w:tc>
          <w:tcPr>
            <w:tcW w:w="260" w:type="dxa"/>
            <w:vAlign w:val="bottom"/>
            <w:vMerge w:val="restart"/>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1,001.9</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(657.4)</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1,148.8</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(752.9)</w:t>
            </w:r>
          </w:p>
        </w:tc>
        <w:tc>
          <w:tcPr>
            <w:tcW w:w="0" w:type="dxa"/>
            <w:vAlign w:val="bottom"/>
          </w:tcPr>
          <w:p>
            <w:pPr>
              <w:spacing w:after="0"/>
              <w:rPr>
                <w:sz w:val="1"/>
                <w:szCs w:val="1"/>
                <w:color w:val="auto"/>
              </w:rPr>
            </w:pPr>
          </w:p>
        </w:tc>
      </w:tr>
      <w:tr>
        <w:trPr>
          <w:trHeight w:val="215"/>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which the effects of cash flow hedging instruments are recorded</w:t>
            </w:r>
          </w:p>
        </w:tc>
        <w:tc>
          <w:tcPr>
            <w:tcW w:w="2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Gain on derivatives designated as cash flow hedging instruments: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 of gain reclassified from AOCL into earnings</w:t>
            </w:r>
          </w:p>
        </w:tc>
        <w:tc>
          <w:tcPr>
            <w:tcW w:w="26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Pr>
          <w:p>
            <w:pPr>
              <w:spacing w:after="0"/>
              <w:rPr>
                <w:sz w:val="18"/>
                <w:szCs w:val="18"/>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1.4</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162"/>
        </w:trPr>
        <w:tc>
          <w:tcPr>
            <w:tcW w:w="524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Gain on components excluded from effectiveness testing recognized in</w:t>
            </w:r>
          </w:p>
        </w:tc>
        <w:tc>
          <w:tcPr>
            <w:tcW w:w="260" w:type="dxa"/>
            <w:vAlign w:val="bottom"/>
            <w:vMerge w:val="restart"/>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0.7</w:t>
            </w:r>
          </w:p>
        </w:tc>
        <w:tc>
          <w:tcPr>
            <w:tcW w:w="3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5"/>
        </w:trPr>
        <w:tc>
          <w:tcPr>
            <w:tcW w:w="52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earnings based on changes in fair value</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impact and location of derivative instruments on the Condensed Consolidated Statements of Earnings for the company’s derivatives not designated as cash flow hedging instruments:</w:t>
      </w:r>
    </w:p>
    <w:p>
      <w:pPr>
        <w:spacing w:after="0" w:line="7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6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February 3, 2023</w:t>
            </w:r>
          </w:p>
        </w:tc>
      </w:tr>
      <w:tr>
        <w:trPr>
          <w:trHeight w:val="21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Loss on derivatives not designated as cash flow hedging instruments</w:t>
            </w:r>
          </w:p>
        </w:tc>
        <w:tc>
          <w:tcPr>
            <w:tcW w:w="16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7"/>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6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loss, net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loss on derivatives not designated as cash flow hedging instruments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2"/>
        </w:trPr>
        <w:tc>
          <w:tcPr>
            <w:tcW w:w="6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16 </w:t>
      </w:r>
      <w:r>
        <w:rPr>
          <w:rFonts w:ascii="Times New Roman" w:cs="Times New Roman" w:eastAsia="Times New Roman" w:hAnsi="Times New Roman"/>
          <w:sz w:val="18"/>
          <w:szCs w:val="18"/>
          <w:b w:val="1"/>
          <w:bCs w:val="1"/>
          <w:color w:val="auto"/>
        </w:rPr>
        <w:t>Fair Value Measurements</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Level 1</w:t>
      </w:r>
      <w:r>
        <w:rPr>
          <w:rFonts w:ascii="Times New Roman" w:cs="Times New Roman" w:eastAsia="Times New Roman" w:hAnsi="Times New Roman"/>
          <w:sz w:val="17"/>
          <w:szCs w:val="17"/>
          <w:color w:val="auto"/>
        </w:rPr>
        <w:t>: Unadjusted quoted prices in active markets for identical assets or liabilities.</w:t>
      </w:r>
    </w:p>
    <w:p>
      <w:pPr>
        <w:spacing w:after="0" w:line="115"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17"/>
          <w:szCs w:val="17"/>
          <w:b w:val="1"/>
          <w:bCs w:val="1"/>
          <w:color w:val="auto"/>
        </w:rPr>
        <w:t>Level 2</w:t>
      </w:r>
      <w:r>
        <w:rPr>
          <w:rFonts w:ascii="Times New Roman" w:cs="Times New Roman" w:eastAsia="Times New Roman" w:hAnsi="Times New Roman"/>
          <w:sz w:val="17"/>
          <w:szCs w:val="17"/>
          <w:color w:val="auto"/>
        </w:rPr>
        <w:t>: Observable inputs other than Level 1 prices, such as quoted prices for similar assets or liabilities in active markets; quoted prices for identical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assets or liabilities in markets that are not active; or other inputs that are observable or can be corroborated by observable market data for substantially the full term of the assets or liabilities.</w:t>
      </w:r>
    </w:p>
    <w:p>
      <w:pPr>
        <w:spacing w:after="0" w:line="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Level 3</w:t>
      </w:r>
      <w:r>
        <w:rPr>
          <w:rFonts w:ascii="Times New Roman" w:cs="Times New Roman" w:eastAsia="Times New Roman" w:hAnsi="Times New Roman"/>
          <w:sz w:val="17"/>
          <w:szCs w:val="17"/>
          <w:color w:val="auto"/>
        </w:rPr>
        <w:t>: Unobservable inputs reflecting management’s assumptions about the inputs used in pricing the asset or liability.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following tables present, by level within the fair value hierarchy, the company's financial assets and liabilities that are measured at fair value on a recurring basis as of February 2, 2024, February 3, 2023, and October 31, 2023, according to the valuation technique utilized to determine their fair values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195580</wp:posOffset>
            </wp:positionV>
            <wp:extent cx="32162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288"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7"/>
        </w:trPr>
        <w:tc>
          <w:tcPr>
            <w:tcW w:w="3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50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320" w:type="dxa"/>
            <w:vAlign w:val="bottom"/>
            <w:tcBorders>
              <w:bottom w:val="single" w:sz="8" w:color="auto"/>
            </w:tcBorders>
          </w:tcPr>
          <w:p>
            <w:pPr>
              <w:jc w:val="right"/>
              <w:ind w:right="10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4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500" w:type="dxa"/>
            <w:vAlign w:val="bottom"/>
            <w:tcBorders>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320" w:type="dxa"/>
            <w:vAlign w:val="bottom"/>
            <w:tcBorders>
              <w:bottom w:val="single" w:sz="8" w:color="auto"/>
            </w:tcBorders>
            <w:shd w:val="clear" w:color="auto" w:fill="CCEEFF"/>
          </w:tcPr>
          <w:p>
            <w:pPr>
              <w:jc w:val="right"/>
              <w:ind w:right="10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40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26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32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7"/>
        </w:trPr>
        <w:tc>
          <w:tcPr>
            <w:tcW w:w="3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50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10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500" w:type="dxa"/>
            <w:vAlign w:val="bottom"/>
            <w:tcBorders>
              <w:bottom w:val="single" w:sz="8" w:color="auto"/>
            </w:tcBorders>
            <w:shd w:val="clear" w:color="auto" w:fill="CCEEFF"/>
          </w:tcPr>
          <w:p>
            <w:pPr>
              <w:jc w:val="right"/>
              <w:ind w:right="99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0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26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147955</wp:posOffset>
            </wp:positionV>
            <wp:extent cx="32162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21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2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7"/>
        </w:trPr>
        <w:tc>
          <w:tcPr>
            <w:tcW w:w="3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6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10.6</w:t>
            </w:r>
          </w:p>
        </w:tc>
        <w:tc>
          <w:tcPr>
            <w:tcW w:w="1320" w:type="dxa"/>
            <w:vAlign w:val="bottom"/>
            <w:tcBorders>
              <w:bottom w:val="single" w:sz="8" w:color="auto"/>
            </w:tcBorders>
          </w:tcPr>
          <w:p>
            <w:pPr>
              <w:jc w:val="right"/>
              <w:ind w:right="10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4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6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10.6</w:t>
            </w:r>
          </w:p>
        </w:tc>
        <w:tc>
          <w:tcPr>
            <w:tcW w:w="1320" w:type="dxa"/>
            <w:vAlign w:val="bottom"/>
            <w:tcBorders>
              <w:bottom w:val="single" w:sz="8" w:color="auto"/>
            </w:tcBorders>
            <w:shd w:val="clear" w:color="auto" w:fill="CCEEFF"/>
          </w:tcPr>
          <w:p>
            <w:pPr>
              <w:jc w:val="right"/>
              <w:ind w:right="10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40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26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32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7"/>
        </w:trPr>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6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320" w:type="dxa"/>
            <w:vAlign w:val="bottom"/>
            <w:tcBorders>
              <w:bottom w:val="single" w:sz="8" w:color="auto"/>
            </w:tcBorders>
          </w:tcPr>
          <w:p>
            <w:pPr>
              <w:jc w:val="right"/>
              <w:ind w:right="10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4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46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320" w:type="dxa"/>
            <w:vAlign w:val="bottom"/>
            <w:tcBorders>
              <w:bottom w:val="single" w:sz="8" w:color="auto"/>
            </w:tcBorders>
            <w:shd w:val="clear" w:color="auto" w:fill="CCEEFF"/>
          </w:tcPr>
          <w:p>
            <w:pPr>
              <w:jc w:val="right"/>
              <w:ind w:right="10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40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26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378460</wp:posOffset>
            </wp:positionV>
            <wp:extent cx="32080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802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2023</w:t>
            </w:r>
          </w:p>
        </w:tc>
        <w:tc>
          <w:tcPr>
            <w:tcW w:w="2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7"/>
        </w:trPr>
        <w:tc>
          <w:tcPr>
            <w:tcW w:w="3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4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300" w:type="dxa"/>
            <w:vAlign w:val="bottom"/>
            <w:tcBorders>
              <w:bottom w:val="single" w:sz="8" w:color="auto"/>
            </w:tcBorders>
          </w:tcPr>
          <w:p>
            <w:pPr>
              <w:jc w:val="right"/>
              <w:ind w:right="103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4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4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300" w:type="dxa"/>
            <w:vAlign w:val="bottom"/>
            <w:tcBorders>
              <w:bottom w:val="single" w:sz="8" w:color="auto"/>
            </w:tcBorders>
            <w:shd w:val="clear" w:color="auto" w:fill="CCEEFF"/>
          </w:tcPr>
          <w:p>
            <w:pPr>
              <w:jc w:val="right"/>
              <w:ind w:right="103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4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28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32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2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7"/>
        </w:trPr>
        <w:tc>
          <w:tcPr>
            <w:tcW w:w="3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4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03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440" w:type="dxa"/>
            <w:vAlign w:val="bottom"/>
            <w:tcBorders>
              <w:bottom w:val="single" w:sz="8" w:color="auto"/>
            </w:tcBorders>
            <w:shd w:val="clear" w:color="auto" w:fill="CCEEFF"/>
          </w:tcPr>
          <w:p>
            <w:pPr>
              <w:jc w:val="right"/>
              <w:ind w:right="95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03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28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Nonrecurring Fair Value Measurements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a business combination are also measured at fair value on a non-recurring basis during the measurement period allowed by the accounting standards codification guidance for business combinations when applicable. Alternatively, under a cost accumulation model, the company measures the fair values of net assets acquired as part of an asset acquisition before allocating the cost of the asset acquisition to the net assets acquired on the basis of their relative fair values.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Fair Value Disclosures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 As of February 2, 2024, February 3, 2023, and October 31, 2023, the company's long-term debt included $524.2 million, $524.1 million, and $524.2 million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February 2, 2024, the estimated gross fair value of long-term debt with fixed interest rates was $512.6 million compared to its gross carrying amount of $524.2 million. As of February 3, 2023, the estimated gross fair value of long-term debt with fixed interest rates was $520.5 million compared to its gross carrying amount of $524.1 million. As of October 31, 2023, the estimated gross fair value of long-term debt with fixed interest rates was $478.2 million compared to its gross carrying amount of $524.2 million. For additional information regarding long-term debt with fixed interest rates, refer to Note 5, </w:t>
      </w:r>
      <w:r>
        <w:rPr>
          <w:rFonts w:ascii="Times New Roman" w:cs="Times New Roman" w:eastAsia="Times New Roman" w:hAnsi="Times New Roman"/>
          <w:sz w:val="17"/>
          <w:szCs w:val="17"/>
          <w:i w:val="1"/>
          <w:iCs w:val="1"/>
          <w:color w:val="auto"/>
        </w:rPr>
        <w:t>Indebtedness.</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17 </w:t>
      </w:r>
      <w:r>
        <w:rPr>
          <w:rFonts w:ascii="Times New Roman" w:cs="Times New Roman" w:eastAsia="Times New Roman" w:hAnsi="Times New Roman"/>
          <w:sz w:val="18"/>
          <w:szCs w:val="18"/>
          <w:b w:val="1"/>
          <w:bCs w:val="1"/>
          <w:color w:val="auto"/>
        </w:rPr>
        <w:t>Subsequent Events</w:t>
      </w:r>
    </w:p>
    <w:p>
      <w:pPr>
        <w:spacing w:after="0" w:line="12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On March 6, 2024, the SEC finalized its climate-related disclosure rules. The company is currently evaluating the impact on its Condensed Consolidated Financial Statements and related disclosures.</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has evaluated all additional subsequent events and concluded that no other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MANAGEMENT’S DISCUSSION AND ANALYSIS OF FINANCIAL CONDITION AND RESULTS OF OPERATIONS</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("MD&amp;A") is intended to provide a reader of our Condensed Consolidated Financial Statements with a narrative from the perspective of management on our financial condition, results of operations, liquidity, and certain other factors that may affect our future results. Unless the context indicates otherwise, the terms "company," "TTC," "we," "our," or "us" refer to The Toro Company and its consolidated subsidiaries. This MD&amp;A should be read in conjunction with the MD&amp;A included in Part II, Item 7 of our Annual Report on Form 10-K for the fiscal year ended October 31, 2023. Unless expressly stated otherwise, the comparisons presented in this MD&amp;A refer to the same period in the prior fiscal year. Our MD&amp;A is presented as follows:</w:t>
      </w:r>
    </w:p>
    <w:p>
      <w:pPr>
        <w:spacing w:after="0" w:line="73" w:lineRule="exact"/>
        <w:rPr>
          <w:sz w:val="20"/>
          <w:szCs w:val="20"/>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Overview</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Segments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Position</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Financial Measures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Critical Accounting Policies and Estimates</w:t>
      </w:r>
    </w:p>
    <w:p>
      <w:pPr>
        <w:spacing w:after="0" w:line="9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This discussion contains various "forward-looking statements" within the meaning of the Private Securities Litigation Reform Act of 1995 and we refer readers to the section titled "Cautionary Note Regarding Forward-Looking Statements" located at the beginning of this Quarterly Report on Form 10-Q for more information.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Throughout this MD&amp;A, we have provided financial and liquidity measures that are not calculated or presented in accordance with United States ("U.S.") generally accepted accounting principles ("GAAP") ("non-GAAP financial measures," "adjusted" before specified financial measures, and "non-GAAP liquidity measures"), as information supplemental and in addition to the most directly comparable financial measures presented in this Quarterly Report on Form 10-Q that are calculated and presented in accordance with U.S. GAAP.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 to, and should be considered in conjunction with, the most directly comparable U.S. GAAP financial measures. Reconciliations of non-GAAP financial measures to the most directly comparable reported U.S. GAAP financial measures are included in the section titled "Non-GAAP Financial Measures" within this MD&amp;A.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Toro Company is in the business of designing, manufacturing, marketing, and selling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Our purpose is to help our customers enrich the beauty, productivity, and sustainability of the land. Sustainability is integrated into our enterprise strategic priorities of accelerating profitable growth, driving productivity and operational excellence, and empowering our people. Our focus on alternative power, smart connected, and autonomous solutions, as well as our continued efforts to address sustainability-focused matters, including environmental, social, and governance priorities, are embedded as part of our "Sustainability Endures" initiative.</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sell our products worldwide through a network of distributors, dealers, mass retailers, hardware retailers, equipment rental centers, and home centers, as well as online and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 We classify our operations into two reportable business segments: Professional and Residential. Our remaining activities are presented as "Other" due to their insignificance, as described in greater detail within the section titled "Business Segments" in this MD&amp;A.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Productivity Initiative</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December 20, 2023 we announced our new AMP initiative, which is a multi-year initiative intended to result in annualized cost savings of at least $100 million by fiscal 2027, driven by sustainable supply-base, design-to-value, and route-to-market transformation. We intend to reinvest a portion of the savings from this initiative to further accelerate innovation and long-term growth.</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Consolidated net sales for the first quarter of fiscal 2024 were $1,001.9 million, down 12.8 percent compared to $1,148.8 million in the first quarter of fiscal 2023. Professional segment net sales for the first quarter of fiscal 2024 were $756.5 million, a decrease of 14.1 percent compared to $880.7 million in the first quarter of the prior fiscal year. Residential segment net sales for the first quarter of fiscal 2024 were $240.1 million, a decrease of 9.3 percent compared to $264.6 million in the first quarter of the prior fiscal year.</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earnings for the first quarter of fiscal 2024 were $64.9 million, or $0.62 per diluted share, compared to net earnings of $106.9 million, or $1.01 per diluted share, for the first quarter of fiscal 2023. Adjusted net earnings for the first quarter of fiscal 2024 were $66.5 million, or $0.64 per diluted share, compared to $103.6 million, or $0.98 per diluted share, for the first quarter of fiscal 2023.</w:t>
      </w:r>
    </w:p>
    <w:p>
      <w:pPr>
        <w:spacing w:after="0" w:line="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continued our history of paying quarterly cash dividends and increased our cash dividend for the first quarter of fiscal 2024 by 5.9 percent to $0.36 per share compared to $0.34 per share paid in the first quarter of fiscal 2023.</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Field inventory levels were higher as of the end of the first quarter of fiscal 2024 compared to the end of the first quarter of fiscal 2023, primarily driven by certain lawn care and snow and ice management products following the adverse weather conditions and macro factors experienced during the second half of fiscal 2023.</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order backlog represents unfulfilled customer orders at a point in time. Our order backlog (including shipments beyond 12 months) was higher as of the end of the first quarter of fiscal 2024 compared to the end of the fourth quarter of fiscal 2023 due to normal seasonal trends. Our order backlog remains significantly elevated over what the company would consider normal, due to demand for underground and specialty construction and golf and grounds products continuing to outpace production of such products.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net sales for the first quarter of fiscal 2024 were $1,001.9 million, down 12.8 percent compared to $1,148.8 million in the first quarter of fiscal 2023.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net sales decrease was primarily driven by lower shipments of both Professional and Residential segment products.</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sales in international markets decreased by $40.4 million for the first quarter of fiscal 2024 compared to the first quarter of fiscal 2023, primarily driven by lower shipments of both Residential and Professional segment products. Changes in foreign currency exchange rates resulted in an increase in our net sales of approximately $0.8 million for the first quarter of fiscal 2024 compared to the first quarter of fiscal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as a percentage of consolidated net sales:</w:t>
      </w:r>
    </w:p>
    <w:p>
      <w:pPr>
        <w:spacing w:after="0" w:line="144"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400" w:type="dxa"/>
            <w:vAlign w:val="bottom"/>
            <w:tcBorders>
              <w:top w:val="single" w:sz="8" w:color="auto"/>
              <w:bottom w:val="single" w:sz="8" w:color="auto"/>
            </w:tcBorders>
          </w:tcPr>
          <w:p>
            <w:pPr>
              <w:spacing w:after="0"/>
              <w:rPr>
                <w:sz w:val="19"/>
                <w:szCs w:val="19"/>
                <w:color w:val="auto"/>
              </w:rPr>
            </w:pPr>
          </w:p>
        </w:tc>
        <w:tc>
          <w:tcPr>
            <w:tcW w:w="418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16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February 3, 2023</w:t>
            </w:r>
          </w:p>
        </w:tc>
      </w:tr>
      <w:tr>
        <w:trPr>
          <w:trHeight w:val="21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41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100.0 %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7"/>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41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(65.6)</w:t>
            </w:r>
          </w:p>
        </w:tc>
        <w:tc>
          <w:tcPr>
            <w:tcW w:w="16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(65.5)</w:t>
            </w:r>
          </w:p>
        </w:tc>
      </w:tr>
      <w:tr>
        <w:trPr>
          <w:trHeight w:val="216"/>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418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34.4</w:t>
            </w:r>
          </w:p>
        </w:tc>
        <w:tc>
          <w:tcPr>
            <w:tcW w:w="16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34.5</w:t>
            </w:r>
          </w:p>
        </w:tc>
      </w:tr>
      <w:tr>
        <w:trPr>
          <w:trHeight w:val="217"/>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41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(25.6)</w:t>
            </w:r>
          </w:p>
        </w:tc>
        <w:tc>
          <w:tcPr>
            <w:tcW w:w="16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(22.6)</w:t>
            </w:r>
          </w:p>
        </w:tc>
      </w:tr>
      <w:tr>
        <w:trPr>
          <w:trHeight w:val="216"/>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earnings</w:t>
            </w:r>
          </w:p>
        </w:tc>
        <w:tc>
          <w:tcPr>
            <w:tcW w:w="418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8.8</w:t>
            </w:r>
          </w:p>
        </w:tc>
        <w:tc>
          <w:tcPr>
            <w:tcW w:w="16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11.9</w:t>
            </w:r>
          </w:p>
        </w:tc>
      </w:tr>
      <w:tr>
        <w:trPr>
          <w:trHeight w:val="217"/>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1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rPr>
              <w:t>(1.6)</w:t>
            </w:r>
          </w:p>
        </w:tc>
        <w:tc>
          <w:tcPr>
            <w:tcW w:w="16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(1.2)</w:t>
            </w:r>
          </w:p>
        </w:tc>
      </w:tr>
      <w:tr>
        <w:trPr>
          <w:trHeight w:val="22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4180" w:type="dxa"/>
            <w:vAlign w:val="bottom"/>
            <w:tcBorders>
              <w:bottom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6"/>
                <w:szCs w:val="16"/>
                <w:color w:val="auto"/>
              </w:rPr>
              <w:t>0.8</w:t>
            </w:r>
          </w:p>
        </w:tc>
        <w:tc>
          <w:tcPr>
            <w:tcW w:w="16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5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418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8.0</w:t>
            </w:r>
          </w:p>
        </w:tc>
        <w:tc>
          <w:tcPr>
            <w:tcW w:w="16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11.4</w:t>
            </w:r>
          </w:p>
        </w:tc>
      </w:tr>
      <w:tr>
        <w:trPr>
          <w:trHeight w:val="220"/>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418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6"/>
                <w:szCs w:val="16"/>
                <w:color w:val="auto"/>
              </w:rPr>
              <w:t>(1.5)</w:t>
            </w:r>
          </w:p>
        </w:tc>
        <w:tc>
          <w:tcPr>
            <w:tcW w:w="16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5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41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rPr>
              <w:t>6.5 %</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9.3 %</w:t>
            </w:r>
          </w:p>
        </w:tc>
      </w:tr>
      <w:tr>
        <w:trPr>
          <w:trHeight w:val="22"/>
        </w:trPr>
        <w:tc>
          <w:tcPr>
            <w:tcW w:w="540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Profit and Gross Margin</w:t>
      </w:r>
    </w:p>
    <w:p>
      <w:pPr>
        <w:spacing w:after="0" w:line="1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Gross profit for the first quarter of fiscal 2024 was $344.5 million, down 13.0 percent compared to $395.9 million in the first quarter of fiscal 2023. Adjusted gross profit for the first quarter of fiscal 2024 was $344.5 million, down 13.0 percent compared to $396.1 million for the first quarter of fiscal 2023. Gross margin was 34.4 percent for the first quarter of fiscal 2024 compared to 34.5 percent for the first quarter of fiscal 2023, a decrease of 10 basis points. The slight decrease in gross margin was primarily due to unfavorable product mix within the Residential segment, mostly offset by favorable product mix within the Professional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("SG&amp;A") Expense</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SG&amp;A expense decreased $3.6 million, or 1.4 percent, for the first quarter of fiscal 2024 compared to the first quarter of fiscal 2023. As a percentage of net sales, SG&amp;A expense increased 300 basis points for the first quarter of fiscal 2024 compared to the first quarter of fiscal 2023. The increase in SG&amp;A expense as a percentage of net sales for the first quarter comparison was primarily due to lower net sales volume.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Interest expense increased $2.1 million for the first quarter of fiscal 2024 compared to the first quarter of fiscal 2023. The increase in interest expense was primarily due to higher average interest rates and higher average outstanding borrowings under our debt arrangements.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Net</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Other income, net decreased $1.3 million for the first quarter of fiscal 2024 compared to the first quarter of fiscal 2023. The decrease was primarily due to a favorable net legal settlement that was recognized in fiscal 2023 and did not repeat in fiscal 2024, partially offset by the favorable impact from derivative instruments and higher income from our Red Iron joint venture.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Provision for Income Tax</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effective tax rate for the first quarter of fiscal 2024 was 19.0 percent compared to 18.6 percent in the first quarter of fiscal 2023, primarily due to lower tax benefits recorded as excess tax deductions for stock-based compensation in the current-year period, partially offset by a more favorable geographic mix of earnings. The adjusted effective tax rate for the first quarter of fiscal 2024 was 20.8 percent compared to an adjusted effective tax rate of 21.4 percent in the first quarter of fiscal 2023, primarily driven by a more favorable geographic mix of earnings.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Earnings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earnings for the first quarter of fiscal 2024 were $64.9 million, or $0.62 per diluted share, compared to $106.9 million, or $1.01 per diluted share, for the first quarter of fiscal 2023. The decrease in net earnings per diluted share for the first quarter comparison was primarily due to lower Professional and Residential segment earnings. Adjusted net earnings for the first quarter of fiscal 2024 were $66.5 million, or $0.64 per diluted share, compared to $103.6 million, or $0.98 per diluted share, for the first quarter of fiscal 2023, a decrease of 34.7 percent per diluted share.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operate in two reportable business segments: Professional and Residential. Segment earnings for our Professional and Residential segments are defined as earnings from operations plus other income, net. Our remaining activities are presented as "Other" due to their insignificance. Operating loss for our Other activities included earnings (loss) from our wholly-owned domestic distribution company, Red Iron joint venture, corporate activities, other income, and interest expense. Corporate activities include general corporate expenditures, such as finance, human resources, legal, information services, public relations,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and similar activities, as well as other unallocated corporate assets and liabilities, such as corporate facilities and deferred tax assets and liabilities. The following tables summarize net sales for our reportable business segments and Other activities: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3"/>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540" w:type="dxa"/>
            <w:vAlign w:val="bottom"/>
          </w:tcPr>
          <w:p>
            <w:pPr>
              <w:spacing w:after="0"/>
              <w:rPr>
                <w:sz w:val="13"/>
                <w:szCs w:val="13"/>
                <w:color w:val="auto"/>
              </w:rPr>
            </w:pPr>
          </w:p>
        </w:tc>
        <w:tc>
          <w:tcPr>
            <w:tcW w:w="132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180" w:type="dxa"/>
            <w:vAlign w:val="bottom"/>
          </w:tcPr>
          <w:p>
            <w:pPr>
              <w:spacing w:after="0"/>
              <w:rPr>
                <w:sz w:val="13"/>
                <w:szCs w:val="13"/>
                <w:color w:val="auto"/>
              </w:rPr>
            </w:pPr>
          </w:p>
        </w:tc>
        <w:tc>
          <w:tcPr>
            <w:tcW w:w="132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220" w:type="dxa"/>
            <w:vAlign w:val="bottom"/>
          </w:tcPr>
          <w:p>
            <w:pPr>
              <w:spacing w:after="0"/>
              <w:rPr>
                <w:sz w:val="13"/>
                <w:szCs w:val="13"/>
                <w:color w:val="auto"/>
              </w:rPr>
            </w:pPr>
          </w:p>
        </w:tc>
        <w:tc>
          <w:tcPr>
            <w:tcW w:w="1340" w:type="dxa"/>
            <w:vAlign w:val="bottom"/>
          </w:tcPr>
          <w:p>
            <w:pPr>
              <w:jc w:val="right"/>
              <w:ind w:right="47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3800" w:type="dxa"/>
            <w:vAlign w:val="bottom"/>
            <w:tcBorders>
              <w:bottom w:val="single" w:sz="8" w:color="auto"/>
            </w:tcBorders>
            <w:vMerge w:val="continue"/>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880.7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(124.2)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7"/>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5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8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264.6</w:t>
            </w:r>
          </w:p>
        </w:tc>
        <w:tc>
          <w:tcPr>
            <w:tcW w:w="220" w:type="dxa"/>
            <w:vAlign w:val="bottom"/>
          </w:tcPr>
          <w:p>
            <w:pPr>
              <w:spacing w:after="0"/>
              <w:rPr>
                <w:sz w:val="18"/>
                <w:szCs w:val="18"/>
                <w:color w:val="auto"/>
              </w:rPr>
            </w:pPr>
          </w:p>
        </w:tc>
        <w:tc>
          <w:tcPr>
            <w:tcW w:w="13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(24.5)</w:t>
            </w:r>
          </w:p>
        </w:tc>
        <w:tc>
          <w:tcPr>
            <w:tcW w:w="15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20"/>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1.8</w:t>
            </w:r>
          </w:p>
        </w:tc>
        <w:tc>
          <w:tcPr>
            <w:tcW w:w="152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51.4</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1,148.8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(146.9)</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38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*Includes international net sales of:</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245.4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(40.4)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segment earnings for our reportable business segments and operating (loss) for our Other activities: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3"/>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880" w:type="dxa"/>
            <w:vAlign w:val="bottom"/>
          </w:tcPr>
          <w:p>
            <w:pPr>
              <w:spacing w:after="0"/>
              <w:rPr>
                <w:sz w:val="13"/>
                <w:szCs w:val="13"/>
                <w:color w:val="auto"/>
              </w:rPr>
            </w:pPr>
          </w:p>
        </w:tc>
        <w:tc>
          <w:tcPr>
            <w:tcW w:w="1340" w:type="dxa"/>
            <w:vAlign w:val="bottom"/>
            <w:vMerge w:val="restart"/>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160" w:type="dxa"/>
            <w:vAlign w:val="bottom"/>
          </w:tcPr>
          <w:p>
            <w:pPr>
              <w:spacing w:after="0"/>
              <w:rPr>
                <w:sz w:val="13"/>
                <w:szCs w:val="13"/>
                <w:color w:val="auto"/>
              </w:rPr>
            </w:pPr>
          </w:p>
        </w:tc>
        <w:tc>
          <w:tcPr>
            <w:tcW w:w="1340" w:type="dxa"/>
            <w:vAlign w:val="bottom"/>
            <w:vMerge w:val="restart"/>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200" w:type="dxa"/>
            <w:vAlign w:val="bottom"/>
          </w:tcPr>
          <w:p>
            <w:pPr>
              <w:spacing w:after="0"/>
              <w:rPr>
                <w:sz w:val="13"/>
                <w:szCs w:val="13"/>
                <w:color w:val="auto"/>
              </w:rPr>
            </w:pPr>
          </w:p>
        </w:tc>
        <w:tc>
          <w:tcPr>
            <w:tcW w:w="1340" w:type="dxa"/>
            <w:vAlign w:val="bottom"/>
          </w:tcPr>
          <w:p>
            <w:pPr>
              <w:jc w:val="right"/>
              <w:ind w:right="478"/>
              <w:spacing w:after="0" w:line="155"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Percentage Change</w:t>
            </w:r>
          </w:p>
        </w:tc>
        <w:tc>
          <w:tcPr>
            <w:tcW w:w="0" w:type="dxa"/>
            <w:vAlign w:val="bottom"/>
          </w:tcPr>
          <w:p>
            <w:pPr>
              <w:spacing w:after="0"/>
              <w:rPr>
                <w:sz w:val="1"/>
                <w:szCs w:val="1"/>
                <w:color w:val="auto"/>
              </w:rPr>
            </w:pPr>
          </w:p>
        </w:tc>
      </w:tr>
      <w:tr>
        <w:trPr>
          <w:trHeight w:val="219"/>
        </w:trPr>
        <w:tc>
          <w:tcPr>
            <w:tcW w:w="3460" w:type="dxa"/>
            <w:vAlign w:val="bottom"/>
            <w:tcBorders>
              <w:bottom w:val="single" w:sz="8" w:color="auto"/>
            </w:tcBorders>
            <w:vMerge w:val="continue"/>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144.1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(31.3)</w:t>
            </w:r>
          </w:p>
        </w:tc>
        <w:tc>
          <w:tcPr>
            <w:tcW w:w="15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w w:val="99"/>
              </w:rPr>
              <w:t>(21.7)%</w:t>
            </w:r>
          </w:p>
        </w:tc>
        <w:tc>
          <w:tcPr>
            <w:tcW w:w="0" w:type="dxa"/>
            <w:vAlign w:val="bottom"/>
          </w:tcPr>
          <w:p>
            <w:pPr>
              <w:spacing w:after="0"/>
              <w:rPr>
                <w:sz w:val="1"/>
                <w:szCs w:val="1"/>
                <w:color w:val="auto"/>
              </w:rPr>
            </w:pPr>
          </w:p>
        </w:tc>
      </w:tr>
      <w:tr>
        <w:trPr>
          <w:trHeight w:val="217"/>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880" w:type="dxa"/>
            <w:vAlign w:val="bottom"/>
          </w:tcPr>
          <w:p>
            <w:pPr>
              <w:spacing w:after="0"/>
              <w:rPr>
                <w:sz w:val="18"/>
                <w:szCs w:val="18"/>
                <w:color w:val="auto"/>
              </w:rPr>
            </w:pPr>
          </w:p>
        </w:tc>
        <w:tc>
          <w:tcPr>
            <w:tcW w:w="13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23.5</w:t>
            </w:r>
          </w:p>
        </w:tc>
        <w:tc>
          <w:tcPr>
            <w:tcW w:w="160" w:type="dxa"/>
            <w:vAlign w:val="bottom"/>
          </w:tcPr>
          <w:p>
            <w:pPr>
              <w:spacing w:after="0"/>
              <w:rPr>
                <w:sz w:val="18"/>
                <w:szCs w:val="18"/>
                <w:color w:val="auto"/>
              </w:rPr>
            </w:pPr>
          </w:p>
        </w:tc>
        <w:tc>
          <w:tcPr>
            <w:tcW w:w="13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37.8</w:t>
            </w:r>
          </w:p>
        </w:tc>
        <w:tc>
          <w:tcPr>
            <w:tcW w:w="200" w:type="dxa"/>
            <w:vAlign w:val="bottom"/>
          </w:tcPr>
          <w:p>
            <w:pPr>
              <w:spacing w:after="0"/>
              <w:rPr>
                <w:sz w:val="18"/>
                <w:szCs w:val="18"/>
                <w:color w:val="auto"/>
              </w:rPr>
            </w:pPr>
          </w:p>
        </w:tc>
        <w:tc>
          <w:tcPr>
            <w:tcW w:w="13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(14.3)</w:t>
            </w:r>
          </w:p>
        </w:tc>
        <w:tc>
          <w:tcPr>
            <w:tcW w:w="152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20"/>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(5.6)</w:t>
            </w:r>
          </w:p>
        </w:tc>
        <w:tc>
          <w:tcPr>
            <w:tcW w:w="15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3"/>
        </w:trPr>
        <w:tc>
          <w:tcPr>
            <w:tcW w:w="3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segment earnings</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80.1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131.3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(51.2)</w:t>
            </w:r>
          </w:p>
        </w:tc>
        <w:tc>
          <w:tcPr>
            <w:tcW w:w="15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w w:val="99"/>
              </w:rPr>
              <w:t>(39.0)%</w:t>
            </w:r>
          </w:p>
        </w:tc>
        <w:tc>
          <w:tcPr>
            <w:tcW w:w="0" w:type="dxa"/>
            <w:vAlign w:val="bottom"/>
          </w:tcPr>
          <w:p>
            <w:pPr>
              <w:spacing w:after="0"/>
              <w:rPr>
                <w:sz w:val="1"/>
                <w:szCs w:val="1"/>
                <w:color w:val="auto"/>
              </w:rPr>
            </w:pPr>
          </w:p>
        </w:tc>
      </w:tr>
      <w:tr>
        <w:trPr>
          <w:trHeight w:val="22"/>
        </w:trPr>
        <w:tc>
          <w:tcPr>
            <w:tcW w:w="3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Professional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Net Sales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Worldwide net sales for our Professional segment for the first quarter of fiscal 2024 decreased 14.1 percent compared to the first quarter of fiscal 2023. The decrease was driven primarily by lower shipments of zero-turn mowers and snow and ice management products, partially offset by higher shipments of underground and specialty construction products, and golf and grounds equipment.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Earnings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Professional segment earnings for the first quarter of fiscal 2024 decreased 21.7 percent compared to the first quarter of fiscal 2023, and Professional segment earnings margin decreased to 14.9 percent from 16.4 percent in the first quarter of fiscal 2023. The decrease in Professional segment earnings margin was primarily due to lower net sales volume, partially offset by favorable product mix.</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Residential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Net Sales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Worldwide net sales for our Residential segment for the first quarter of fiscal 2024 decreased 9.3 percent compared to the first quarter of fiscal 2023. The decrease was primarily driven by lower shipments of snow products and zero-turn mowers, partially offset by higher shipments of walk-power mowers and portable power products.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Earnings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Residential segment earnings for the first quarter of fiscal 2024 decreased 37.8 percent compared to the first quarter of fiscal 2023, and Residential segment earnings margin decreased to 9.8 percent from 14.3 percent in the first quarter of fiscal 2023. The decrease in Residential segment earnings margin for the first quarter of fiscal 2024 was largely driven by product mix.</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Activities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Net Sales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sales for our Other activities includes sales from our wholly-owned domestic distribution company net of intersegment sales from the Professional and Residential segments to the distribution company. Net sales for our Other activities in the first quarter of fiscal 2024 increased by $1.8 million compared to the same period in fiscal 2023.</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Loss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operating loss for our Other activities for the first quarter of fiscal 2024 increased $5.6 million compared to the first quarter of fiscal 2023 and was primarily due to higher corporate expenses and higher interest expense.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POSITION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macroeconomic environment remains challenging, but our supply chain is continuing to stabilize. Our ongoing goal is to maintain requisite inventory levels to meet our anticipated production requirements, avoid manufacturing delays, and meet the demand for our products, as well as working to ensure service parts availability for our customers. Accounts receivable as of the end of the first quarter of fiscal 2024 increased $111.8 million, or 29.6 percent, compared to the end of the first quarter of fiscal 2023, primarily driven by timing of shipments to our mass channel and payment terms. Inventory levels were up $45.7 million, or 4.0 percent, as of the first quarter of fiscal 2024 compared to the first quarter of fiscal 2023, driven by higher finished goods balances, primarily due to lower shipments of zero-turn mowers and snow and ice management products, partially offset by reduced work in process balances driven by more reliable component availability and productivity improvements. Accounts payable decreased $53.4 million, or 11.2 percent, as of the end of the first quarter of fiscal 2024 compared to the end of the first quarter of fiscal 2023, primarily driven by a reduction in purchases year over year.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Cash used in operating activities for the first three months of fiscal 2024 was $92.2 million compared to $68.9 million for the first three months of fiscal 2023 mainly due to lower net earnings during the current fiscal year period compared to the prior fiscal year period.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Cash used in investing activities for the first three months of fiscal 2024 was $19.1 million compared to $21.9 million for the first three months of fiscal 2023. This decrease in cash used in investing activities was primarily driven by lower purchases of property, plant, and equipment, net of proceeds from insurance claim in the current fiscal year period compared to the prior fiscal year period.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Cash provided by financing activities for the first three months of fiscal 2024 was $114.1 million compared to cash provided by financing activities for the first three months of fiscal 2023 of $74.4 million. This increase in cash provided by financing activities was mainly due to higher net borrowings, partially offset by lower proceeds from exercise of stock options, in each case during the current fiscal year period compared to the prior fiscal year period.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of February 2, 2024, we had available liquidity of $600.9 million, consisting of cash and cash equivalents of $198.5 million, of which $91.1 million was held by our foreign subsidiaries, and availability under our revolving credit facility of $402.4 million. We believe our current liquidity position, including the funds available through existing, and potential future, financing arrangements and forecasted cash flows from operations will be sufficient to provide the necessary capital resources for our anticipated working capital needs, payroll, and other administrative costs, capital expenditures, lease payments, purchase commitments, contractual obligations, acquisitions, investments, establishment of new facilities, expansion and renovation of existing facilities, financing receivables from customers that are not financed with Red Iron or other third-party financial institutions, contingent consideration payments, debt repayments, interest payments, quarterly cash dividend payments, and common stock repurchases, all as applicable, for at least the next twelve months.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debt arrangements are described in further detail in our Annual Report on Form 10-K for the fiscal year ended October 31, 2023. The following is a summary of our indebtedness: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38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February 3, 2023</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2023</w:t>
            </w:r>
          </w:p>
        </w:tc>
      </w:tr>
      <w:tr>
        <w:trPr>
          <w:trHeight w:val="214"/>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$600 million revolving credit facility, due October 2026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$270 million term loan, due October 2026</w:t>
            </w:r>
          </w:p>
        </w:tc>
        <w:tc>
          <w:tcPr>
            <w:tcW w:w="1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2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270.0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million term loan, due April 2027</w:t>
            </w:r>
          </w:p>
        </w:tc>
        <w:tc>
          <w:tcPr>
            <w:tcW w:w="1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1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1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3.97% senior notes, due June 2032</w:t>
            </w:r>
          </w:p>
        </w:tc>
        <w:tc>
          <w:tcPr>
            <w:tcW w:w="1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1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1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2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124.1</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20"/>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4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long-term debt</w:t>
            </w:r>
          </w:p>
        </w:tc>
        <w:tc>
          <w:tcPr>
            <w:tcW w:w="1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1,186.6</w:t>
            </w:r>
          </w:p>
        </w:tc>
        <w:tc>
          <w:tcPr>
            <w:tcW w:w="240" w:type="dxa"/>
            <w:vAlign w:val="bottom"/>
          </w:tcPr>
          <w:p>
            <w:pPr>
              <w:spacing w:after="0"/>
              <w:rPr>
                <w:sz w:val="18"/>
                <w:szCs w:val="18"/>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1,091.0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1,031.5</w:t>
            </w:r>
          </w:p>
        </w:tc>
      </w:tr>
      <w:tr>
        <w:trPr>
          <w:trHeight w:val="220"/>
        </w:trPr>
        <w:tc>
          <w:tcPr>
            <w:tcW w:w="4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1,091.0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1,031.5</w:t>
            </w:r>
          </w:p>
        </w:tc>
      </w:tr>
      <w:tr>
        <w:trPr>
          <w:trHeight w:val="22"/>
        </w:trPr>
        <w:tc>
          <w:tcPr>
            <w:tcW w:w="4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As of February 2, 2024, we had $195.0 million of outstanding borrowings under our revolving credit facility and $2.6 million outstanding under the sublimit for standby letters of credit, which resulted in $402.4 million of unutilized availability under our revolving credit facility.</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are in compliance with our debt covenants and other requirements of our revolving credit facility and term loan credit agreements, indentures, and private placement note purchase agreements.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Dividends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Board of Directors approved a cash dividend of $0.36 per share for the first quarter of fiscal 2024 that was paid on January 11, 2024. This was an increase of 5.9 percent over our cash dividend of $0.34 per share for the first quarter of fiscal 2023. We expect to continue paying our quarterly cash dividend to shareholders for the remainder of fiscal 2024.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first three months of fiscal 2024, we did not repurchase shares of our common stock. As of February 2, 2024, 6,949,491 shares remained available for repurchase under our Board authorized repurchase program. We expect to repurchase shares of our common stock throughout the remainder of fiscal 2024, depending on our cash balance, debt repayments, market conditions, our anticipated working capital needs, the price of our common stock, and/or other factors.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Financing Arrangements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customer financing arrangements are described in further detail in our Annual Report on Form 10-K for the fiscal year ended October 31, 2023. There have been no material changes to our customer financing arrangements during the first three months of fiscal 2024.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Financing</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are party to inventory financing arrangements with Red Iron, HCFC, and other third-party financial institutions which provide inventory financing to certain dealers and distributors of certain of our products in the U.S. and internationally.</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 with Red Iron for the three month periods ended February 2, 2024 and February 3, 2023 were $425.6 million and $674.4 million, respectively. The total amount of net receivables outstanding under the arrangement with Red Iron as of February 2, 2024, February 3, 2023 and October 31, 2023 were $963.9 million, $942.0 million and $1,019.0 million, respectively. The total amount of receivables due from Red Iron to us as of February 2, 2024, February 3, 2023 and October 31, 2023 were $25.6 million, $17.3 million and $34.4 million, respectively.</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net amount of receivables financed for dealers and distributors under the arrangements with HCFC and the other third-party financial institutions for the three month periods ended February 2, 2024 and February 3, 2023 were $131.0 million and $111.3 million, respectively. The total amount of net receivables outstanding under the arrangements with HCFC and the other third-party financial institutions as of February 2, 2024, February 3, 2023, and October 31, 2023 were $202.6 million, $166.1 million, and $234.7 million, respectively.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Inventory Repurchase Agreements</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We have entered into a limited inventory repurchase agreement with Red Iron and HCFC under which we have agreed to repurchase certain repossessed products, up to a maximum aggregate amount of $7.5 million in a calendar year.</w:t>
      </w:r>
    </w:p>
    <w:p>
      <w:pPr>
        <w:spacing w:after="0" w:line="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Additionally, as a result of our financing agreements with the other third-party financial institutions, we have also entered into inventory repurchase agreements with the other third-party financial institutions. Under such inventory repurchase agreements, we have agreed to repurchase products repossessed by the other third-party financial institutions. As of February 2, 2024, February 3, 2023, and October 31, 2023, we were contingently liable to repurchase up to a maximum amount of $28.7 million, $79.4 million, and $32.2 million, respectively, of inventory related to receivables under these inventory repurchase agreements.</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financial exposure under these inventory repurchase agreements is limited to the difference between the amount paid to Red Iron, HCFC or other third-party financing institutions for repurchases of inventory and the amount received upon subsequent resale of the repossessed product. We have repurchased immaterial amounts of inventory pursuant to such arrangements for the three months ended February 2, 2024 and February 3, 2023.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provided in this Quarterly Report on Form 10-Q certain non-GAAP financial measures, which are not calculated or presented in accordance with U.S. GAAP, as information supplemental and in addition to the most directly comparable financial measures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following table provides a reconciliation of the non-GAAP financial performance measures used in this report to the most directly comparable measures calculated and reported in accordance with U.S. GAAP for the three month periods ended February 2, 2024 and February 3, 2023:</w:t>
      </w:r>
    </w:p>
    <w:p>
      <w:pPr>
        <w:spacing w:after="0" w:line="77"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25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February 3, 2023</w:t>
            </w:r>
          </w:p>
        </w:tc>
      </w:tr>
      <w:tr>
        <w:trPr>
          <w:trHeight w:val="21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344.5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395.9</w:t>
            </w:r>
          </w:p>
        </w:tc>
      </w:tr>
      <w:tr>
        <w:trPr>
          <w:trHeight w:val="220"/>
        </w:trPr>
        <w:tc>
          <w:tcPr>
            <w:tcW w:w="532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1"/>
                <w:szCs w:val="21"/>
                <w:color w:val="auto"/>
                <w:vertAlign w:val="superscript"/>
              </w:rPr>
              <w:t>1</w:t>
            </w:r>
          </w:p>
        </w:tc>
        <w:tc>
          <w:tcPr>
            <w:tcW w:w="2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0.2</w:t>
            </w:r>
          </w:p>
        </w:tc>
      </w:tr>
      <w:tr>
        <w:trPr>
          <w:trHeight w:val="21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gross profit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344.5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396.1</w:t>
            </w:r>
          </w:p>
        </w:tc>
      </w:tr>
      <w:tr>
        <w:trPr>
          <w:trHeight w:val="86"/>
        </w:trPr>
        <w:tc>
          <w:tcPr>
            <w:tcW w:w="5320" w:type="dxa"/>
            <w:vAlign w:val="bottom"/>
            <w:tcBorders>
              <w:bottom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earnings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88.6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136.4</w:t>
            </w:r>
          </w:p>
        </w:tc>
      </w:tr>
      <w:tr>
        <w:trPr>
          <w:trHeight w:val="220"/>
        </w:trPr>
        <w:tc>
          <w:tcPr>
            <w:tcW w:w="532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1"/>
                <w:szCs w:val="21"/>
                <w:color w:val="auto"/>
                <w:vertAlign w:val="superscript"/>
              </w:rPr>
              <w:t>1</w:t>
            </w:r>
          </w:p>
        </w:tc>
        <w:tc>
          <w:tcPr>
            <w:tcW w:w="2500" w:type="dxa"/>
            <w:vAlign w:val="bottom"/>
          </w:tcPr>
          <w:p>
            <w:pPr>
              <w:spacing w:after="0"/>
              <w:rPr>
                <w:sz w:val="19"/>
                <w:szCs w:val="19"/>
                <w:color w:val="auto"/>
              </w:rPr>
            </w:pPr>
          </w:p>
        </w:tc>
        <w:tc>
          <w:tcPr>
            <w:tcW w:w="16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5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0.5</w:t>
            </w:r>
          </w:p>
        </w:tc>
      </w:tr>
      <w:tr>
        <w:trPr>
          <w:trHeight w:val="220"/>
        </w:trPr>
        <w:tc>
          <w:tcPr>
            <w:tcW w:w="532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2</w:t>
            </w:r>
          </w:p>
        </w:tc>
        <w:tc>
          <w:tcPr>
            <w:tcW w:w="2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operating earnings</w:t>
            </w: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92.5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136.9</w:t>
            </w:r>
          </w:p>
        </w:tc>
      </w:tr>
      <w:tr>
        <w:trPr>
          <w:trHeight w:val="86"/>
        </w:trPr>
        <w:tc>
          <w:tcPr>
            <w:tcW w:w="5320" w:type="dxa"/>
            <w:vAlign w:val="bottom"/>
            <w:tcBorders>
              <w:bottom w:val="single" w:sz="8" w:color="auto"/>
            </w:tcBorders>
            <w:shd w:val="clear" w:color="auto" w:fill="CCEEFF"/>
          </w:tcPr>
          <w:p>
            <w:pPr>
              <w:spacing w:after="0"/>
              <w:rPr>
                <w:sz w:val="7"/>
                <w:szCs w:val="7"/>
                <w:color w:val="auto"/>
              </w:rPr>
            </w:pPr>
          </w:p>
        </w:tc>
        <w:tc>
          <w:tcPr>
            <w:tcW w:w="2500" w:type="dxa"/>
            <w:vAlign w:val="bottom"/>
            <w:tcBorders>
              <w:bottom w:val="single" w:sz="8" w:color="auto"/>
            </w:tcBorders>
            <w:shd w:val="clear" w:color="auto" w:fill="CCEEFF"/>
          </w:tcPr>
          <w:p>
            <w:pPr>
              <w:spacing w:after="0"/>
              <w:rPr>
                <w:sz w:val="7"/>
                <w:szCs w:val="7"/>
                <w:color w:val="auto"/>
              </w:rPr>
            </w:pPr>
          </w:p>
        </w:tc>
        <w:tc>
          <w:tcPr>
            <w:tcW w:w="160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560" w:type="dxa"/>
            <w:vAlign w:val="bottom"/>
            <w:tcBorders>
              <w:bottom w:val="single" w:sz="8" w:color="auto"/>
            </w:tcBorders>
            <w:shd w:val="clear" w:color="auto" w:fill="CCEEFF"/>
          </w:tcPr>
          <w:p>
            <w:pPr>
              <w:spacing w:after="0"/>
              <w:rPr>
                <w:sz w:val="7"/>
                <w:szCs w:val="7"/>
                <w:color w:val="auto"/>
              </w:rPr>
            </w:pP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earnings margin</w:t>
            </w:r>
          </w:p>
        </w:tc>
        <w:tc>
          <w:tcPr>
            <w:tcW w:w="25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11.9 %</w:t>
            </w:r>
          </w:p>
        </w:tc>
      </w:tr>
      <w:tr>
        <w:trPr>
          <w:trHeight w:val="223"/>
        </w:trPr>
        <w:tc>
          <w:tcPr>
            <w:tcW w:w="5320" w:type="dxa"/>
            <w:vAlign w:val="bottom"/>
            <w:tcBorders>
              <w:bottom w:val="single" w:sz="8" w:color="auto"/>
            </w:tcBorders>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2</w:t>
            </w:r>
          </w:p>
        </w:tc>
        <w:tc>
          <w:tcPr>
            <w:tcW w:w="2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operating earnings margin</w:t>
            </w:r>
          </w:p>
        </w:tc>
        <w:tc>
          <w:tcPr>
            <w:tcW w:w="2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11.9 %</w:t>
            </w:r>
          </w:p>
        </w:tc>
      </w:tr>
      <w:tr>
        <w:trPr>
          <w:trHeight w:val="86"/>
        </w:trPr>
        <w:tc>
          <w:tcPr>
            <w:tcW w:w="5320" w:type="dxa"/>
            <w:vAlign w:val="bottom"/>
            <w:tcBorders>
              <w:bottom w:val="single" w:sz="8" w:color="auto"/>
            </w:tcBorders>
            <w:shd w:val="clear" w:color="auto" w:fill="CCEEFF"/>
          </w:tcPr>
          <w:p>
            <w:pPr>
              <w:spacing w:after="0"/>
              <w:rPr>
                <w:sz w:val="7"/>
                <w:szCs w:val="7"/>
                <w:color w:val="auto"/>
              </w:rPr>
            </w:pPr>
          </w:p>
        </w:tc>
        <w:tc>
          <w:tcPr>
            <w:tcW w:w="2500" w:type="dxa"/>
            <w:vAlign w:val="bottom"/>
            <w:tcBorders>
              <w:bottom w:val="single" w:sz="8" w:color="auto"/>
            </w:tcBorders>
            <w:shd w:val="clear" w:color="auto" w:fill="CCEEFF"/>
          </w:tcPr>
          <w:p>
            <w:pPr>
              <w:spacing w:after="0"/>
              <w:rPr>
                <w:sz w:val="7"/>
                <w:szCs w:val="7"/>
                <w:color w:val="auto"/>
              </w:rPr>
            </w:pPr>
          </w:p>
        </w:tc>
        <w:tc>
          <w:tcPr>
            <w:tcW w:w="160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560" w:type="dxa"/>
            <w:vAlign w:val="bottom"/>
            <w:tcBorders>
              <w:bottom w:val="single" w:sz="8" w:color="auto"/>
            </w:tcBorders>
            <w:shd w:val="clear" w:color="auto" w:fill="CCEEFF"/>
          </w:tcPr>
          <w:p>
            <w:pPr>
              <w:spacing w:after="0"/>
              <w:rPr>
                <w:sz w:val="7"/>
                <w:szCs w:val="7"/>
                <w:color w:val="auto"/>
              </w:rPr>
            </w:pP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80.1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131.3</w:t>
            </w:r>
          </w:p>
        </w:tc>
      </w:tr>
      <w:tr>
        <w:trPr>
          <w:trHeight w:val="223"/>
        </w:trPr>
        <w:tc>
          <w:tcPr>
            <w:tcW w:w="532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1"/>
                <w:szCs w:val="21"/>
                <w:color w:val="auto"/>
                <w:vertAlign w:val="superscript"/>
              </w:rPr>
              <w:t>1</w:t>
            </w:r>
          </w:p>
        </w:tc>
        <w:tc>
          <w:tcPr>
            <w:tcW w:w="2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0.5</w:t>
            </w:r>
          </w:p>
        </w:tc>
      </w:tr>
      <w:tr>
        <w:trPr>
          <w:trHeight w:val="220"/>
        </w:trPr>
        <w:tc>
          <w:tcPr>
            <w:tcW w:w="532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2</w:t>
            </w:r>
          </w:p>
        </w:tc>
        <w:tc>
          <w:tcPr>
            <w:tcW w:w="2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before income taxes</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84.0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131.8</w:t>
            </w:r>
          </w:p>
        </w:tc>
      </w:tr>
      <w:tr>
        <w:trPr>
          <w:trHeight w:val="86"/>
        </w:trPr>
        <w:tc>
          <w:tcPr>
            <w:tcW w:w="5320" w:type="dxa"/>
            <w:vAlign w:val="bottom"/>
            <w:tcBorders>
              <w:bottom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15.2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24.4</w:t>
            </w:r>
          </w:p>
        </w:tc>
      </w:tr>
      <w:tr>
        <w:trPr>
          <w:trHeight w:val="220"/>
        </w:trPr>
        <w:tc>
          <w:tcPr>
            <w:tcW w:w="532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1"/>
                <w:szCs w:val="21"/>
                <w:color w:val="auto"/>
                <w:vertAlign w:val="superscript"/>
              </w:rPr>
              <w:t>1</w:t>
            </w:r>
          </w:p>
        </w:tc>
        <w:tc>
          <w:tcPr>
            <w:tcW w:w="2500" w:type="dxa"/>
            <w:vAlign w:val="bottom"/>
          </w:tcPr>
          <w:p>
            <w:pPr>
              <w:spacing w:after="0"/>
              <w:rPr>
                <w:sz w:val="19"/>
                <w:szCs w:val="19"/>
                <w:color w:val="auto"/>
              </w:rPr>
            </w:pPr>
          </w:p>
        </w:tc>
        <w:tc>
          <w:tcPr>
            <w:tcW w:w="16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5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0.2</w:t>
            </w:r>
          </w:p>
        </w:tc>
      </w:tr>
      <w:tr>
        <w:trPr>
          <w:trHeight w:val="220"/>
        </w:trPr>
        <w:tc>
          <w:tcPr>
            <w:tcW w:w="532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w:t>
            </w:r>
            <w:r>
              <w:rPr>
                <w:rFonts w:ascii="Times New Roman" w:cs="Times New Roman" w:eastAsia="Times New Roman" w:hAnsi="Times New Roman"/>
                <w:sz w:val="21"/>
                <w:szCs w:val="21"/>
                <w:color w:val="auto"/>
                <w:vertAlign w:val="superscript"/>
              </w:rPr>
              <w:t>2</w:t>
            </w:r>
          </w:p>
        </w:tc>
        <w:tc>
          <w:tcPr>
            <w:tcW w:w="2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32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share-based compensation</w:t>
            </w:r>
            <w:r>
              <w:rPr>
                <w:rFonts w:ascii="Times New Roman" w:cs="Times New Roman" w:eastAsia="Times New Roman" w:hAnsi="Times New Roman"/>
                <w:sz w:val="21"/>
                <w:szCs w:val="21"/>
                <w:color w:val="auto"/>
                <w:vertAlign w:val="superscript"/>
              </w:rPr>
              <w:t>3</w:t>
            </w:r>
          </w:p>
        </w:tc>
        <w:tc>
          <w:tcPr>
            <w:tcW w:w="2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3.6</w:t>
            </w:r>
          </w:p>
        </w:tc>
      </w:tr>
      <w:tr>
        <w:trPr>
          <w:trHeight w:val="235"/>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income tax provision</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17.5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28.2</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532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64.9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106.9</w:t>
            </w:r>
          </w:p>
        </w:tc>
      </w:tr>
      <w:tr>
        <w:trPr>
          <w:trHeight w:val="220"/>
        </w:trPr>
        <w:tc>
          <w:tcPr>
            <w:tcW w:w="532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Acquisition-related costs, net of tax</w:t>
            </w:r>
            <w:r>
              <w:rPr>
                <w:rFonts w:ascii="Times New Roman" w:cs="Times New Roman" w:eastAsia="Times New Roman" w:hAnsi="Times New Roman"/>
                <w:sz w:val="21"/>
                <w:szCs w:val="21"/>
                <w:color w:val="auto"/>
                <w:vertAlign w:val="superscript"/>
              </w:rPr>
              <w:t>1</w:t>
            </w:r>
          </w:p>
        </w:tc>
        <w:tc>
          <w:tcPr>
            <w:tcW w:w="2500" w:type="dxa"/>
            <w:vAlign w:val="bottom"/>
          </w:tcPr>
          <w:p>
            <w:pPr>
              <w:spacing w:after="0"/>
              <w:rPr>
                <w:sz w:val="19"/>
                <w:szCs w:val="19"/>
                <w:color w:val="auto"/>
              </w:rPr>
            </w:pPr>
          </w:p>
        </w:tc>
        <w:tc>
          <w:tcPr>
            <w:tcW w:w="16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5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0.3</w:t>
            </w:r>
          </w:p>
        </w:tc>
      </w:tr>
      <w:tr>
        <w:trPr>
          <w:trHeight w:val="220"/>
        </w:trPr>
        <w:tc>
          <w:tcPr>
            <w:tcW w:w="5320" w:type="dxa"/>
            <w:vAlign w:val="bottom"/>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 net of tax</w:t>
            </w:r>
            <w:r>
              <w:rPr>
                <w:rFonts w:ascii="Times New Roman" w:cs="Times New Roman" w:eastAsia="Times New Roman" w:hAnsi="Times New Roman"/>
                <w:sz w:val="21"/>
                <w:szCs w:val="21"/>
                <w:color w:val="auto"/>
                <w:vertAlign w:val="superscript"/>
              </w:rPr>
              <w:t>2</w:t>
            </w:r>
          </w:p>
        </w:tc>
        <w:tc>
          <w:tcPr>
            <w:tcW w:w="2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320" w:type="dxa"/>
            <w:vAlign w:val="bottom"/>
            <w:tcBorders>
              <w:bottom w:val="single" w:sz="8" w:color="auto"/>
            </w:tcBorders>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1"/>
                <w:szCs w:val="21"/>
                <w:color w:val="auto"/>
                <w:vertAlign w:val="superscript"/>
              </w:rPr>
              <w:t>3</w:t>
            </w:r>
          </w:p>
        </w:tc>
        <w:tc>
          <w:tcPr>
            <w:tcW w:w="2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(3.6)</w:t>
            </w:r>
          </w:p>
        </w:tc>
      </w:tr>
      <w:tr>
        <w:trPr>
          <w:trHeight w:val="235"/>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earnings</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66.5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103.6</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532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per diluted share</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rPr>
              <w:t>0.62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1.01</w:t>
            </w:r>
          </w:p>
        </w:tc>
      </w:tr>
      <w:tr>
        <w:trPr>
          <w:trHeight w:val="220"/>
        </w:trPr>
        <w:tc>
          <w:tcPr>
            <w:tcW w:w="5320" w:type="dxa"/>
            <w:vAlign w:val="bottom"/>
          </w:tcPr>
          <w:p>
            <w:pPr>
              <w:ind w:left="140"/>
              <w:spacing w:after="0" w:line="220" w:lineRule="exact"/>
              <w:rPr>
                <w:sz w:val="20"/>
                <w:szCs w:val="20"/>
                <w:color w:val="auto"/>
              </w:rPr>
            </w:pPr>
            <w:r>
              <w:rPr>
                <w:rFonts w:ascii="Times New Roman" w:cs="Times New Roman" w:eastAsia="Times New Roman" w:hAnsi="Times New Roman"/>
                <w:sz w:val="16"/>
                <w:szCs w:val="16"/>
                <w:color w:val="auto"/>
              </w:rPr>
              <w:t>Productivity initiative, net of tax</w:t>
            </w:r>
            <w:r>
              <w:rPr>
                <w:rFonts w:ascii="Times New Roman" w:cs="Times New Roman" w:eastAsia="Times New Roman" w:hAnsi="Times New Roman"/>
                <w:sz w:val="21"/>
                <w:szCs w:val="21"/>
                <w:color w:val="auto"/>
                <w:vertAlign w:val="superscript"/>
              </w:rPr>
              <w:t>2</w:t>
            </w:r>
          </w:p>
        </w:tc>
        <w:tc>
          <w:tcPr>
            <w:tcW w:w="2500" w:type="dxa"/>
            <w:vAlign w:val="bottom"/>
          </w:tcPr>
          <w:p>
            <w:pPr>
              <w:spacing w:after="0"/>
              <w:rPr>
                <w:sz w:val="19"/>
                <w:szCs w:val="19"/>
                <w:color w:val="auto"/>
              </w:rPr>
            </w:pPr>
          </w:p>
        </w:tc>
        <w:tc>
          <w:tcPr>
            <w:tcW w:w="16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0.03</w:t>
            </w:r>
          </w:p>
        </w:tc>
        <w:tc>
          <w:tcPr>
            <w:tcW w:w="240" w:type="dxa"/>
            <w:vAlign w:val="bottom"/>
          </w:tcPr>
          <w:p>
            <w:pPr>
              <w:spacing w:after="0"/>
              <w:rPr>
                <w:sz w:val="19"/>
                <w:szCs w:val="19"/>
                <w:color w:val="auto"/>
              </w:rPr>
            </w:pPr>
          </w:p>
        </w:tc>
        <w:tc>
          <w:tcPr>
            <w:tcW w:w="15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320" w:type="dxa"/>
            <w:vAlign w:val="bottom"/>
            <w:tcBorders>
              <w:bottom w:val="single" w:sz="8" w:color="auto"/>
            </w:tcBorders>
            <w:shd w:val="clear" w:color="auto" w:fill="CCEEFF"/>
          </w:tcPr>
          <w:p>
            <w:pPr>
              <w:ind w:left="140"/>
              <w:spacing w:after="0" w:line="220"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1"/>
                <w:szCs w:val="21"/>
                <w:color w:val="auto"/>
                <w:vertAlign w:val="superscript"/>
              </w:rPr>
              <w:t>3</w:t>
            </w:r>
          </w:p>
        </w:tc>
        <w:tc>
          <w:tcPr>
            <w:tcW w:w="2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(0.01)</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(0.03)</w:t>
            </w:r>
          </w:p>
        </w:tc>
      </w:tr>
      <w:tr>
        <w:trPr>
          <w:trHeight w:val="21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net earnings per diluted share</w:t>
            </w: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rPr>
              <w:t>0.64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0.98</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72"/>
        </w:trPr>
        <w:tc>
          <w:tcPr>
            <w:tcW w:w="5320" w:type="dxa"/>
            <w:vAlign w:val="bottom"/>
            <w:tcBorders>
              <w:bottom w:val="single" w:sz="8" w:color="auto"/>
            </w:tcBorders>
            <w:shd w:val="clear" w:color="auto" w:fill="CCEEFF"/>
          </w:tcPr>
          <w:p>
            <w:pPr>
              <w:spacing w:after="0"/>
              <w:rPr>
                <w:sz w:val="6"/>
                <w:szCs w:val="6"/>
                <w:color w:val="auto"/>
              </w:rPr>
            </w:pPr>
          </w:p>
        </w:tc>
        <w:tc>
          <w:tcPr>
            <w:tcW w:w="2500" w:type="dxa"/>
            <w:vAlign w:val="bottom"/>
            <w:tcBorders>
              <w:bottom w:val="single" w:sz="8" w:color="auto"/>
            </w:tcBorders>
            <w:shd w:val="clear" w:color="auto" w:fill="CCEEFF"/>
          </w:tcPr>
          <w:p>
            <w:pPr>
              <w:spacing w:after="0"/>
              <w:rPr>
                <w:sz w:val="6"/>
                <w:szCs w:val="6"/>
                <w:color w:val="auto"/>
              </w:rPr>
            </w:pPr>
          </w:p>
        </w:tc>
        <w:tc>
          <w:tcPr>
            <w:tcW w:w="160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560" w:type="dxa"/>
            <w:vAlign w:val="bottom"/>
            <w:tcBorders>
              <w:bottom w:val="single" w:sz="8" w:color="auto"/>
            </w:tcBorders>
            <w:shd w:val="clear" w:color="auto" w:fill="CCEEFF"/>
          </w:tcPr>
          <w:p>
            <w:pPr>
              <w:spacing w:after="0"/>
              <w:rPr>
                <w:sz w:val="6"/>
                <w:szCs w:val="6"/>
                <w:color w:val="auto"/>
              </w:rPr>
            </w:pPr>
          </w:p>
        </w:tc>
      </w:tr>
      <w:tr>
        <w:trPr>
          <w:trHeight w:val="210"/>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5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19.0 %</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18.6 %</w:t>
            </w:r>
          </w:p>
        </w:tc>
      </w:tr>
      <w:tr>
        <w:trPr>
          <w:trHeight w:val="223"/>
        </w:trPr>
        <w:tc>
          <w:tcPr>
            <w:tcW w:w="5320" w:type="dxa"/>
            <w:vAlign w:val="bottom"/>
            <w:tcBorders>
              <w:bottom w:val="single" w:sz="8" w:color="auto"/>
            </w:tcBorders>
            <w:shd w:val="clear" w:color="auto" w:fill="CCEEFF"/>
          </w:tcPr>
          <w:p>
            <w:pPr>
              <w:ind w:left="140"/>
              <w:spacing w:after="0" w:line="223"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1"/>
                <w:szCs w:val="21"/>
                <w:color w:val="auto"/>
                <w:vertAlign w:val="superscript"/>
              </w:rPr>
              <w:t>3</w:t>
            </w:r>
          </w:p>
        </w:tc>
        <w:tc>
          <w:tcPr>
            <w:tcW w:w="2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1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Adjusted effective tax rate</w:t>
            </w:r>
          </w:p>
        </w:tc>
        <w:tc>
          <w:tcPr>
            <w:tcW w:w="2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21.4 %</w:t>
            </w:r>
          </w:p>
        </w:tc>
      </w:tr>
      <w:tr>
        <w:trPr>
          <w:trHeight w:val="22"/>
        </w:trPr>
        <w:tc>
          <w:tcPr>
            <w:tcW w:w="53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220" w:hanging="139"/>
        <w:spacing w:after="0"/>
        <w:tabs>
          <w:tab w:leader="none" w:pos="22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January 13, 2022, we completed our acquisition of Intimidator Group. Acquisition-related costs for the three month period ended February 3, 2023 represent integration costs.</w:t>
      </w:r>
    </w:p>
    <w:p>
      <w:pPr>
        <w:spacing w:after="0" w:line="81" w:lineRule="exact"/>
        <w:rPr>
          <w:sz w:val="20"/>
          <w:szCs w:val="20"/>
          <w:color w:val="auto"/>
        </w:rPr>
      </w:pPr>
    </w:p>
    <w:p>
      <w:pPr>
        <w:jc w:val="both"/>
        <w:ind w:left="240" w:hanging="159"/>
        <w:spacing w:after="0" w:line="234" w:lineRule="auto"/>
        <w:tabs>
          <w:tab w:leader="none" w:pos="24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 the first quarter of fiscal 2024, we launched a significant productivity initiative we have named AMP, as discussed in more detail under the heading "Company Overview-Productivity Initiative" in this section. We considered the nature, frequency, and scale of this initiative compared to our prior productivity initiatives when determining that the expenses associated with AMP, unlike our prior productivity initiatives, are not common, normal, recurring operating expenses and are not representative of our ongoing business operations. Productivity initiative charges for the three month period ended February 2, 2024 primarily represent third-party consulting costs.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240" w:hanging="159"/>
        <w:spacing w:after="0" w:line="234" w:lineRule="auto"/>
        <w:tabs>
          <w:tab w:leader="none" w:pos="292"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month periods ended February 2, 2024 and February 3,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Liquidity Measures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define free cash flow as net cash provided by operating activities less purchases of property, plant, and equipment, net of proceeds from insurance claim. Free cash flow conversion percentage represents free cash flow as a percentage of net earnings. We consider free cash flow and free cash flow conversion percentage to be non-GAAP liquidity measures that provide useful information to management and investors about our ability to convert net earnings into cash resources that can be used to pursue opportunities to enhance shareholder value, fund ongoing and prospective business initiatives, and strengthen our Condensed Consolidated Balance Sheets, after reinvesting in necessary capital expenditures required to maintain and grow our business. The following table provides a reconciliation of non-GAAP free cash flow and free cash flow conversion percentage to net cash provided by operating activities, which is the most directly comparable financial measure calculated and reported in accordance with U.S. GAAP, for the three month periods ended February 2, 2024 and February 3, 2023:</w:t>
      </w:r>
    </w:p>
    <w:p>
      <w:pPr>
        <w:spacing w:after="0" w:line="103"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9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February 2, 2024</w:t>
            </w:r>
          </w:p>
        </w:tc>
        <w:tc>
          <w:tcPr>
            <w:tcW w:w="2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February 3, 2023</w:t>
            </w:r>
          </w:p>
        </w:tc>
      </w:tr>
      <w:tr>
        <w:trPr>
          <w:trHeight w:val="21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(92.2)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(68.9)</w:t>
            </w:r>
          </w:p>
        </w:tc>
      </w:tr>
      <w:tr>
        <w:trPr>
          <w:trHeight w:val="217"/>
        </w:trPr>
        <w:tc>
          <w:tcPr>
            <w:tcW w:w="6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Purchases of property, plant, and equipment, net of proceeds from insurance claim</w:t>
            </w:r>
          </w:p>
        </w:tc>
        <w:tc>
          <w:tcPr>
            <w:tcW w:w="9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19.1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22.2</w:t>
            </w:r>
          </w:p>
        </w:tc>
      </w:tr>
      <w:tr>
        <w:trPr>
          <w:trHeight w:val="216"/>
        </w:trPr>
        <w:tc>
          <w:tcPr>
            <w:tcW w:w="6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Free cash flow</w:t>
            </w:r>
          </w:p>
        </w:tc>
        <w:tc>
          <w:tcPr>
            <w:tcW w:w="9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(111.3)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(91.1)</w:t>
            </w:r>
          </w:p>
        </w:tc>
      </w:tr>
      <w:tr>
        <w:trPr>
          <w:trHeight w:val="217"/>
        </w:trPr>
        <w:tc>
          <w:tcPr>
            <w:tcW w:w="6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color w:val="auto"/>
              </w:rPr>
              <w:t>64.9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106.9</w:t>
            </w:r>
          </w:p>
        </w:tc>
      </w:tr>
      <w:tr>
        <w:trPr>
          <w:trHeight w:val="238"/>
        </w:trPr>
        <w:tc>
          <w:tcPr>
            <w:tcW w:w="66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Free cash flow conversion percentage</w:t>
            </w:r>
          </w:p>
        </w:tc>
        <w:tc>
          <w:tcPr>
            <w:tcW w:w="9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2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(85.2)%</w:t>
            </w:r>
          </w:p>
        </w:tc>
      </w:tr>
      <w:tr>
        <w:trPr>
          <w:trHeight w:val="20"/>
        </w:trPr>
        <w:tc>
          <w:tcPr>
            <w:tcW w:w="66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There have been no material changes to our critical accounting policies and estimates since our Annual Report on Form 10-K for the fiscal year ended October 31, 2023. Refer to Part II, Item 7, "Management’s Discussion and Analysis of Financial Condition and Results of Operations", and Part II, Item 8, Note 1, </w:t>
      </w:r>
      <w:r>
        <w:rPr>
          <w:rFonts w:ascii="Times New Roman" w:cs="Times New Roman" w:eastAsia="Times New Roman" w:hAnsi="Times New Roman"/>
          <w:sz w:val="17"/>
          <w:szCs w:val="17"/>
          <w:i w:val="1"/>
          <w:iCs w:val="1"/>
          <w:color w:val="auto"/>
        </w:rPr>
        <w:t>Summary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Significant Accounting Policies and Related Data</w:t>
      </w:r>
      <w:r>
        <w:rPr>
          <w:rFonts w:ascii="Times New Roman" w:cs="Times New Roman" w:eastAsia="Times New Roman" w:hAnsi="Times New Roman"/>
          <w:sz w:val="17"/>
          <w:szCs w:val="17"/>
          <w:color w:val="auto"/>
        </w:rPr>
        <w:t>, within our Annual Report on Form 10-K for the fiscal year ended October 31, 2023 for a discussion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critical accounting policies and estimates.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 QUANTITATIVE AND QUALITATIVE DISCLOSURES ABOUT MARKET RISK</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2023. Refer to Part II, Item 7A, "Quantitative and Qualitative Disclosures about Market Risk", within our Annual Report on Form 10-K for the fiscal year ended October 31, 2023 for a complete discussion of our market risk. Refer below for further discussion on foreign currency exchange rate risk, interest rate risk, and commodity cost risk.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To reduce our exposure to foreign currency exchange rate risk, we enter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refer to Note 15, </w:t>
      </w:r>
      <w:r>
        <w:rPr>
          <w:rFonts w:ascii="Times New Roman" w:cs="Times New Roman" w:eastAsia="Times New Roman" w:hAnsi="Times New Roman"/>
          <w:sz w:val="17"/>
          <w:szCs w:val="17"/>
          <w:i w:val="1"/>
          <w:iCs w:val="1"/>
          <w:color w:val="auto"/>
        </w:rPr>
        <w:t>Derivative Instruments and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Hedging Activities</w:t>
      </w:r>
      <w:r>
        <w:rPr>
          <w:rFonts w:ascii="Times New Roman" w:cs="Times New Roman" w:eastAsia="Times New Roman" w:hAnsi="Times New Roman"/>
          <w:sz w:val="17"/>
          <w:szCs w:val="17"/>
          <w:color w:val="auto"/>
        </w:rPr>
        <w:t>, in our Notes to Condensed Consolidated Financial Statements included in Part I, Item 1 of this Quarterly Report on Form 10-Q.</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foreign currency exchange contracts in the table below have maturity dates in fiscal 2024 through fiscal 2026. All items are non-trading and stated in U.S. dollars. As of February 2, 2024, the average contracted rate, notional amount, fair value, and the gain (loss) at fair value of outstanding derivative instruments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millions, except average contracted rate)</w:t>
            </w:r>
          </w:p>
        </w:tc>
        <w:tc>
          <w:tcPr>
            <w:tcW w:w="230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Average Contracted</w:t>
            </w: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80" w:type="dxa"/>
            <w:vAlign w:val="bottom"/>
            <w:tcBorders>
              <w:top w:val="single" w:sz="8" w:color="auto"/>
            </w:tcBorders>
            <w:gridSpan w:val="2"/>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Gain (Loss) at Fair</w:t>
            </w:r>
          </w:p>
        </w:tc>
        <w:tc>
          <w:tcPr>
            <w:tcW w:w="0" w:type="dxa"/>
            <w:vAlign w:val="bottom"/>
          </w:tcPr>
          <w:p>
            <w:pPr>
              <w:spacing w:after="0"/>
              <w:rPr>
                <w:sz w:val="1"/>
                <w:szCs w:val="1"/>
                <w:color w:val="auto"/>
              </w:rPr>
            </w:pPr>
          </w:p>
        </w:tc>
      </w:tr>
      <w:tr>
        <w:trPr>
          <w:trHeight w:val="219"/>
        </w:trPr>
        <w:tc>
          <w:tcPr>
            <w:tcW w:w="4460" w:type="dxa"/>
            <w:vAlign w:val="bottom"/>
            <w:tcBorders>
              <w:bottom w:val="single" w:sz="8" w:color="auto"/>
            </w:tcBorders>
            <w:vMerge w:val="continue"/>
          </w:tcPr>
          <w:p>
            <w:pPr>
              <w:spacing w:after="0"/>
              <w:rPr>
                <w:sz w:val="19"/>
                <w:szCs w:val="19"/>
                <w:color w:val="auto"/>
              </w:rPr>
            </w:pPr>
          </w:p>
        </w:tc>
        <w:tc>
          <w:tcPr>
            <w:tcW w:w="23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Rate</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U.S. dollar/Sell Australian dollar</w:t>
            </w:r>
          </w:p>
        </w:tc>
        <w:tc>
          <w:tcPr>
            <w:tcW w:w="2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0.6756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114.1</w:t>
            </w:r>
          </w:p>
        </w:tc>
        <w:tc>
          <w:tcPr>
            <w:tcW w:w="36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center"/>
              <w:ind w:left="718"/>
              <w:spacing w:after="0"/>
              <w:rPr>
                <w:sz w:val="20"/>
                <w:szCs w:val="20"/>
                <w:color w:val="auto"/>
              </w:rPr>
            </w:pPr>
            <w:r>
              <w:rPr>
                <w:rFonts w:ascii="Times New Roman" w:cs="Times New Roman" w:eastAsia="Times New Roman" w:hAnsi="Times New Roman"/>
                <w:sz w:val="16"/>
                <w:szCs w:val="16"/>
                <w:color w:val="auto"/>
                <w:w w:val="99"/>
              </w:rPr>
              <w:t>2.6</w:t>
            </w:r>
          </w:p>
        </w:tc>
        <w:tc>
          <w:tcPr>
            <w:tcW w:w="0" w:type="dxa"/>
            <w:vAlign w:val="bottom"/>
          </w:tcPr>
          <w:p>
            <w:pPr>
              <w:spacing w:after="0"/>
              <w:rPr>
                <w:sz w:val="1"/>
                <w:szCs w:val="1"/>
                <w:color w:val="auto"/>
              </w:rPr>
            </w:pPr>
          </w:p>
        </w:tc>
      </w:tr>
      <w:tr>
        <w:trPr>
          <w:trHeight w:val="217"/>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Buy U.S. dollar/Sell Canadian dollar</w:t>
            </w:r>
          </w:p>
        </w:tc>
        <w:tc>
          <w:tcPr>
            <w:tcW w:w="23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1.3332</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30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52.3</w:t>
            </w:r>
          </w:p>
        </w:tc>
        <w:tc>
          <w:tcPr>
            <w:tcW w:w="360" w:type="dxa"/>
            <w:vAlign w:val="bottom"/>
          </w:tcPr>
          <w:p>
            <w:pPr>
              <w:spacing w:after="0"/>
              <w:rPr>
                <w:sz w:val="18"/>
                <w:szCs w:val="18"/>
                <w:color w:val="auto"/>
              </w:rPr>
            </w:pPr>
          </w:p>
        </w:tc>
        <w:tc>
          <w:tcPr>
            <w:tcW w:w="1120" w:type="dxa"/>
            <w:vAlign w:val="bottom"/>
          </w:tcPr>
          <w:p>
            <w:pPr>
              <w:jc w:val="center"/>
              <w:ind w:left="718"/>
              <w:spacing w:after="0"/>
              <w:rPr>
                <w:sz w:val="20"/>
                <w:szCs w:val="20"/>
                <w:color w:val="auto"/>
              </w:rPr>
            </w:pPr>
            <w:r>
              <w:rPr>
                <w:rFonts w:ascii="Times New Roman" w:cs="Times New Roman" w:eastAsia="Times New Roman" w:hAnsi="Times New Roman"/>
                <w:sz w:val="16"/>
                <w:szCs w:val="16"/>
                <w:color w:val="auto"/>
                <w:w w:val="99"/>
              </w:rPr>
              <w:t>0.3</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U.S. dollar/Sell Euro</w:t>
            </w:r>
          </w:p>
        </w:tc>
        <w:tc>
          <w:tcPr>
            <w:tcW w:w="2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1.1112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180.6</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718"/>
              <w:spacing w:after="0"/>
              <w:rPr>
                <w:sz w:val="20"/>
                <w:szCs w:val="20"/>
                <w:color w:val="auto"/>
              </w:rPr>
            </w:pPr>
            <w:r>
              <w:rPr>
                <w:rFonts w:ascii="Times New Roman" w:cs="Times New Roman" w:eastAsia="Times New Roman" w:hAnsi="Times New Roman"/>
                <w:sz w:val="16"/>
                <w:szCs w:val="16"/>
                <w:color w:val="auto"/>
                <w:w w:val="99"/>
              </w:rPr>
              <w:t>2.3</w:t>
            </w:r>
          </w:p>
        </w:tc>
        <w:tc>
          <w:tcPr>
            <w:tcW w:w="0" w:type="dxa"/>
            <w:vAlign w:val="bottom"/>
          </w:tcPr>
          <w:p>
            <w:pPr>
              <w:spacing w:after="0"/>
              <w:rPr>
                <w:sz w:val="1"/>
                <w:szCs w:val="1"/>
                <w:color w:val="auto"/>
              </w:rPr>
            </w:pPr>
          </w:p>
        </w:tc>
      </w:tr>
      <w:tr>
        <w:trPr>
          <w:trHeight w:val="217"/>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Buy U.S. dollar/Sell British pound</w:t>
            </w:r>
          </w:p>
        </w:tc>
        <w:tc>
          <w:tcPr>
            <w:tcW w:w="23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1.2545</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30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53.7</w:t>
            </w:r>
          </w:p>
        </w:tc>
        <w:tc>
          <w:tcPr>
            <w:tcW w:w="360" w:type="dxa"/>
            <w:vAlign w:val="bottom"/>
          </w:tcPr>
          <w:p>
            <w:pPr>
              <w:spacing w:after="0"/>
              <w:rPr>
                <w:sz w:val="18"/>
                <w:szCs w:val="18"/>
                <w:color w:val="auto"/>
              </w:rPr>
            </w:pPr>
          </w:p>
        </w:tc>
        <w:tc>
          <w:tcPr>
            <w:tcW w:w="1120" w:type="dxa"/>
            <w:vAlign w:val="bottom"/>
          </w:tcPr>
          <w:p>
            <w:pPr>
              <w:jc w:val="center"/>
              <w:ind w:left="678"/>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20"/>
        </w:trPr>
        <w:tc>
          <w:tcPr>
            <w:tcW w:w="4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Mexican peso/Sell U.S. dollar</w:t>
            </w:r>
          </w:p>
        </w:tc>
        <w:tc>
          <w:tcPr>
            <w:tcW w:w="2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19.6327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3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67.7</w:t>
            </w:r>
          </w:p>
        </w:tc>
        <w:tc>
          <w:tcPr>
            <w:tcW w:w="36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center"/>
              <w:ind w:left="718"/>
              <w:spacing w:after="0"/>
              <w:rPr>
                <w:sz w:val="20"/>
                <w:szCs w:val="20"/>
                <w:color w:val="auto"/>
              </w:rPr>
            </w:pPr>
            <w:r>
              <w:rPr>
                <w:rFonts w:ascii="Times New Roman" w:cs="Times New Roman" w:eastAsia="Times New Roman" w:hAnsi="Times New Roman"/>
                <w:sz w:val="16"/>
                <w:szCs w:val="16"/>
                <w:color w:val="auto"/>
                <w:w w:val="99"/>
              </w:rPr>
              <w:t>5.3</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Condensed Consolidated Balance Sheets, and would not impact net earnings.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interest rate risk relates primarily to fluctuations in variable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 Our indebtedness as of February 2, 2024 includes $524.2 million of gross fixed-rate long-term debt that is not subject to variable interest rate fluctuations, $470.0 million of gross variable rate debt under our term loan credit agreements, and $195.0 million outstanding on our variable rate revolving credit facility.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Cost Risk</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demand; inflation; deflation; changing prices; foreign currency fluctuations; tariffs; duties; trade regulatory actions; industry actions; and changes to international trade policies, agreements, and/or regulation and competitor activity, including antidumping and countervailing duties on certain products imported from foreign countries, such as certain engines imported into the U.S. from China.</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categories for commodities, components, parts, and accessories are generally steel, engines, hydraulic components, transmissions, resin, aluminum, and electrification components,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any given period, we strategically attempt to mitigate potential unfavorable impact as a result of changes to the cost of commodities, components, parts, and accessories that affect our product lines through our productivity initiatives; however, our 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SKU rationalization,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and component costs increase and we do not have firm pricing from our suppliers, or our suppliers are not able to honor such prices, and/or our productivity initiatives and/or product price increases are less effective than anticipated and/or do not fully offset cost increases, we may experience a decline in our gross margins.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 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management evaluated, with the participation of our Chairman of the Board, President and Chief Executive Officer and our Vice President, Chief Financial Officer, the effectiveness of the design and operation of our disclosure controls and procedures as of the end of the period covered by this Quarterly Report on Form 10-Q. Based on that evaluation, our Chairman of the Board, President and Chief Executive Officer and our Vice President,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the Chairman of the Board, President and Chief Executive Officer and Vice President, Chief Financial Officer, as appropriate, to allow timely decisions regarding required disclosures.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that occurred during the three month period ended February 2, 2024 that has materially affected, or is reasonably likely to materially affect, our internal control over financial reporting.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LEGAL PROCEEDINGS</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and employment-related disputes, and patent litigation cases. For a description of our material legal proceedings, refer to Note 13,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in our Notes to Condensed Consolidated Financial Statements under the heading "Litigation" included in Part I, Item 1 of this Quarterly Report on Form 10-Q, which is incorporated into this Part II, Item 1 by reference.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1A. RISK FACTORS</w:t>
      </w:r>
    </w:p>
    <w:p>
      <w:pPr>
        <w:spacing w:after="0" w:line="1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are affected by risks specific to us, as well as factors that affect all businesses operating in a global market. The material risk factors known to us that could materially adversely affect our business, reputation, industry, operating results, or financial position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There has been no material change in those 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UNREGISTERED SALES OF EQUITY SECURITIES AND USE OF PROCEEDS</w:t>
      </w:r>
    </w:p>
    <w:p>
      <w:pPr>
        <w:spacing w:after="0" w:line="11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sets forth information with respect to shares of the company's common stock purchased by the company during each of the three fiscal months in the company's first quarter ended February 2,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4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 of</w:t>
            </w:r>
          </w:p>
        </w:tc>
        <w:tc>
          <w:tcPr>
            <w:tcW w:w="0" w:type="dxa"/>
            <w:vAlign w:val="bottom"/>
          </w:tcPr>
          <w:p>
            <w:pPr>
              <w:spacing w:after="0"/>
              <w:rPr>
                <w:sz w:val="1"/>
                <w:szCs w:val="1"/>
                <w:color w:val="auto"/>
              </w:rPr>
            </w:pPr>
          </w:p>
        </w:tc>
      </w:tr>
      <w:tr>
        <w:trPr>
          <w:trHeight w:val="168"/>
        </w:trPr>
        <w:tc>
          <w:tcPr>
            <w:tcW w:w="40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(or Units)</w:t>
            </w: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40" w:type="dxa"/>
            <w:vAlign w:val="bottom"/>
          </w:tcPr>
          <w:p>
            <w:pPr>
              <w:spacing w:after="0"/>
              <w:rPr>
                <w:sz w:val="13"/>
                <w:szCs w:val="13"/>
                <w:color w:val="auto"/>
              </w:rPr>
            </w:pPr>
          </w:p>
        </w:tc>
        <w:tc>
          <w:tcPr>
            <w:tcW w:w="2280" w:type="dxa"/>
            <w:vAlign w:val="bottom"/>
            <w:vMerge w:val="restart"/>
          </w:tcPr>
          <w:p>
            <w:pPr>
              <w:jc w:val="center"/>
              <w:ind w:left="718"/>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Purchased As</w:t>
            </w:r>
          </w:p>
        </w:tc>
        <w:tc>
          <w:tcPr>
            <w:tcW w:w="17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Shares (or Units) that</w:t>
            </w:r>
          </w:p>
        </w:tc>
        <w:tc>
          <w:tcPr>
            <w:tcW w:w="0" w:type="dxa"/>
            <w:vAlign w:val="bottom"/>
          </w:tcPr>
          <w:p>
            <w:pPr>
              <w:spacing w:after="0"/>
              <w:rPr>
                <w:sz w:val="1"/>
                <w:szCs w:val="1"/>
                <w:color w:val="auto"/>
              </w:rPr>
            </w:pPr>
          </w:p>
        </w:tc>
      </w:tr>
      <w:tr>
        <w:trPr>
          <w:trHeight w:val="168"/>
        </w:trPr>
        <w:tc>
          <w:tcPr>
            <w:tcW w:w="404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98"/>
              <w:spacing w:after="0" w:line="168" w:lineRule="exact"/>
              <w:rPr>
                <w:sz w:val="20"/>
                <w:szCs w:val="20"/>
                <w:color w:val="auto"/>
              </w:rPr>
            </w:pPr>
            <w:r>
              <w:rPr>
                <w:rFonts w:ascii="Times New Roman" w:cs="Times New Roman" w:eastAsia="Times New Roman" w:hAnsi="Times New Roman"/>
                <w:sz w:val="16"/>
                <w:szCs w:val="16"/>
                <w:b w:val="1"/>
                <w:bCs w:val="1"/>
                <w:color w:val="auto"/>
              </w:rPr>
              <w:t>Price Paid</w:t>
            </w:r>
          </w:p>
        </w:tc>
        <w:tc>
          <w:tcPr>
            <w:tcW w:w="18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7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68"/>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280" w:type="dxa"/>
            <w:vAlign w:val="bottom"/>
          </w:tcPr>
          <w:p>
            <w:pPr>
              <w:jc w:val="center"/>
              <w:ind w:left="718"/>
              <w:spacing w:after="0" w:line="168" w:lineRule="exact"/>
              <w:rPr>
                <w:sz w:val="20"/>
                <w:szCs w:val="20"/>
                <w:color w:val="auto"/>
              </w:rPr>
            </w:pPr>
            <w:r>
              <w:rPr>
                <w:rFonts w:ascii="Times New Roman" w:cs="Times New Roman" w:eastAsia="Times New Roman" w:hAnsi="Times New Roman"/>
                <w:sz w:val="16"/>
                <w:szCs w:val="16"/>
                <w:b w:val="1"/>
                <w:bCs w:val="1"/>
                <w:color w:val="auto"/>
              </w:rPr>
              <w:t>Shares (or Units)</w:t>
            </w:r>
          </w:p>
        </w:tc>
        <w:tc>
          <w:tcPr>
            <w:tcW w:w="220" w:type="dxa"/>
            <w:vAlign w:val="bottom"/>
          </w:tcPr>
          <w:p>
            <w:pPr>
              <w:spacing w:after="0"/>
              <w:rPr>
                <w:sz w:val="14"/>
                <w:szCs w:val="14"/>
                <w:color w:val="auto"/>
              </w:rPr>
            </w:pPr>
          </w:p>
        </w:tc>
        <w:tc>
          <w:tcPr>
            <w:tcW w:w="980" w:type="dxa"/>
            <w:vAlign w:val="bottom"/>
          </w:tcPr>
          <w:p>
            <w:pPr>
              <w:jc w:val="center"/>
              <w:ind w:right="98"/>
              <w:spacing w:after="0" w:line="168" w:lineRule="exact"/>
              <w:rPr>
                <w:sz w:val="20"/>
                <w:szCs w:val="20"/>
                <w:color w:val="auto"/>
              </w:rPr>
            </w:pPr>
            <w:r>
              <w:rPr>
                <w:rFonts w:ascii="Times New Roman" w:cs="Times New Roman" w:eastAsia="Times New Roman" w:hAnsi="Times New Roman"/>
                <w:sz w:val="16"/>
                <w:szCs w:val="16"/>
                <w:b w:val="1"/>
                <w:bCs w:val="1"/>
                <w:color w:val="auto"/>
              </w:rPr>
              <w:t>per Share</w:t>
            </w:r>
          </w:p>
        </w:tc>
        <w:tc>
          <w:tcPr>
            <w:tcW w:w="18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7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20"/>
        </w:trPr>
        <w:tc>
          <w:tcPr>
            <w:tcW w:w="4040" w:type="dxa"/>
            <w:vAlign w:val="bottom"/>
            <w:tcBorders>
              <w:bottom w:val="single" w:sz="8" w:color="auto"/>
            </w:tcBorders>
            <w:vMerge w:val="continue"/>
          </w:tcPr>
          <w:p>
            <w:pPr>
              <w:spacing w:after="0"/>
              <w:rPr>
                <w:sz w:val="19"/>
                <w:szCs w:val="19"/>
                <w:color w:val="auto"/>
              </w:rPr>
            </w:pPr>
          </w:p>
        </w:tc>
        <w:tc>
          <w:tcPr>
            <w:tcW w:w="2280" w:type="dxa"/>
            <w:vAlign w:val="bottom"/>
            <w:tcBorders>
              <w:bottom w:val="single" w:sz="8" w:color="auto"/>
            </w:tcBorders>
          </w:tcPr>
          <w:p>
            <w:pPr>
              <w:jc w:val="center"/>
              <w:ind w:left="718"/>
              <w:spacing w:after="0" w:line="220" w:lineRule="exact"/>
              <w:rPr>
                <w:sz w:val="20"/>
                <w:szCs w:val="20"/>
                <w:color w:val="auto"/>
              </w:rPr>
            </w:pPr>
            <w:r>
              <w:rPr>
                <w:rFonts w:ascii="Times New Roman" w:cs="Times New Roman" w:eastAsia="Times New Roman" w:hAnsi="Times New Roman"/>
                <w:sz w:val="16"/>
                <w:szCs w:val="16"/>
                <w:b w:val="1"/>
                <w:bCs w:val="1"/>
                <w:color w:val="auto"/>
                <w:w w:val="95"/>
              </w:rPr>
              <w:t>Purchased</w:t>
            </w:r>
            <w:r>
              <w:rPr>
                <w:rFonts w:ascii="Times New Roman" w:cs="Times New Roman" w:eastAsia="Times New Roman" w:hAnsi="Times New Roman"/>
                <w:sz w:val="21"/>
                <w:szCs w:val="21"/>
                <w:b w:val="1"/>
                <w:bCs w:val="1"/>
                <w:color w:val="auto"/>
                <w:w w:val="95"/>
                <w:vertAlign w:val="superscript"/>
              </w:rPr>
              <w:t>1,2,3</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9"/>
              </w:rPr>
              <w:t>(or Unit)</w:t>
            </w:r>
          </w:p>
        </w:tc>
        <w:tc>
          <w:tcPr>
            <w:tcW w:w="186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6"/>
              </w:rPr>
              <w:t>Programs</w:t>
            </w:r>
            <w:r>
              <w:rPr>
                <w:rFonts w:ascii="Times New Roman" w:cs="Times New Roman" w:eastAsia="Times New Roman" w:hAnsi="Times New Roman"/>
                <w:sz w:val="21"/>
                <w:szCs w:val="21"/>
                <w:b w:val="1"/>
                <w:bCs w:val="1"/>
                <w:color w:val="auto"/>
                <w:w w:val="96"/>
                <w:vertAlign w:val="superscript"/>
              </w:rPr>
              <w:t>1,2</w:t>
            </w:r>
          </w:p>
        </w:tc>
        <w:tc>
          <w:tcPr>
            <w:tcW w:w="178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6"/>
              </w:rPr>
              <w:t>Programs</w:t>
            </w:r>
            <w:r>
              <w:rPr>
                <w:rFonts w:ascii="Times New Roman" w:cs="Times New Roman" w:eastAsia="Times New Roman" w:hAnsi="Times New Roman"/>
                <w:sz w:val="21"/>
                <w:szCs w:val="21"/>
                <w:b w:val="1"/>
                <w:bCs w:val="1"/>
                <w:color w:val="auto"/>
                <w:w w:val="96"/>
                <w:vertAlign w:val="superscript"/>
              </w:rPr>
              <w:t>1,2</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1, 2023 through December 1, 2023</w:t>
            </w:r>
          </w:p>
        </w:tc>
        <w:tc>
          <w:tcPr>
            <w:tcW w:w="2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6,949,491</w:t>
            </w:r>
          </w:p>
        </w:tc>
        <w:tc>
          <w:tcPr>
            <w:tcW w:w="0" w:type="dxa"/>
            <w:vAlign w:val="bottom"/>
          </w:tcPr>
          <w:p>
            <w:pPr>
              <w:spacing w:after="0"/>
              <w:rPr>
                <w:sz w:val="1"/>
                <w:szCs w:val="1"/>
                <w:color w:val="auto"/>
              </w:rPr>
            </w:pPr>
          </w:p>
        </w:tc>
      </w:tr>
      <w:tr>
        <w:trPr>
          <w:trHeight w:val="217"/>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2, 2023 through December 29, 2023</w:t>
            </w:r>
          </w:p>
        </w:tc>
        <w:tc>
          <w:tcPr>
            <w:tcW w:w="22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6,949,491</w:t>
            </w:r>
          </w:p>
        </w:tc>
        <w:tc>
          <w:tcPr>
            <w:tcW w:w="0" w:type="dxa"/>
            <w:vAlign w:val="bottom"/>
          </w:tcPr>
          <w:p>
            <w:pPr>
              <w:spacing w:after="0"/>
              <w:rPr>
                <w:sz w:val="1"/>
                <w:szCs w:val="1"/>
                <w:color w:val="auto"/>
              </w:rPr>
            </w:pPr>
          </w:p>
        </w:tc>
      </w:tr>
      <w:tr>
        <w:trPr>
          <w:trHeight w:val="220"/>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30, 2023 through February 2, 2024</w:t>
            </w:r>
          </w:p>
        </w:tc>
        <w:tc>
          <w:tcPr>
            <w:tcW w:w="2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1,779</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91.20</w:t>
            </w:r>
          </w:p>
        </w:tc>
        <w:tc>
          <w:tcPr>
            <w:tcW w:w="1860" w:type="dxa"/>
            <w:vAlign w:val="bottom"/>
            <w:tcBorders>
              <w:bottom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6,949,491</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1,779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91.20</w:t>
            </w:r>
          </w:p>
        </w:tc>
        <w:tc>
          <w:tcPr>
            <w:tcW w:w="18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0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left="160" w:hanging="157"/>
        <w:spacing w:after="0" w:line="255" w:lineRule="auto"/>
        <w:tabs>
          <w:tab w:leader="none" w:pos="148"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December 4, 2018, the company’s Board of Directors authorized the repurchase of 5,000,000 shares of the company’s common stock in open-market or privately negotiated transactions. This authorized stock repurchase program has no expiration date but may be terminated by the company’s Board of Directors at any time. The company did not repurchase any shares under this program during the period indicated above and 1,949,491 shares remained available to repurchase under this authorized stock repurchase program as of February 2, 2024.</w:t>
      </w:r>
    </w:p>
    <w:p>
      <w:pPr>
        <w:spacing w:after="0" w:line="71" w:lineRule="exact"/>
        <w:rPr>
          <w:sz w:val="20"/>
          <w:szCs w:val="20"/>
          <w:color w:val="auto"/>
        </w:rPr>
      </w:pPr>
    </w:p>
    <w:p>
      <w:pPr>
        <w:jc w:val="both"/>
        <w:ind w:left="160" w:hanging="157"/>
        <w:spacing w:after="0" w:line="229" w:lineRule="auto"/>
        <w:tabs>
          <w:tab w:leader="none" w:pos="225"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December 13, 2022, the company’s Board of Directors authorized the repurchase of an additional 5,000,000 shares of the company’s common stock in open-market or privately negotiated transactions. This authorized stock repurchase program has no expiration date but may be terminated by the company’s Board of Directors at any time. No shares were repurchased under this program during the time period indicated above.</w:t>
      </w:r>
    </w:p>
    <w:p>
      <w:pPr>
        <w:spacing w:after="0" w:line="95" w:lineRule="exact"/>
        <w:rPr>
          <w:sz w:val="20"/>
          <w:szCs w:val="20"/>
          <w:color w:val="auto"/>
        </w:rPr>
      </w:pPr>
    </w:p>
    <w:p>
      <w:pPr>
        <w:jc w:val="both"/>
        <w:ind w:left="160" w:hanging="157"/>
        <w:spacing w:after="0" w:line="229" w:lineRule="auto"/>
        <w:tabs>
          <w:tab w:leader="none" w:pos="199"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1,779 shares of the company’s common stock purchased in open-market transactions at an average price of $91.20 per share on behalf of a rabbi trust formed to pay benefit obligations of the company to participants in the company's deferred compensation plans. These 1,779 shares were not repurchased under the company’s authorized stock repurchase programs described in notes 1 and 2 above.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5.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Plan and Non-Rule 10b5-1 Trading Arrangement Adoptions, Terminations, and Modifications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During the company’s first quarter ended February 2, 2024, none of its directors or “officers” (as defined in Rule 16a-1(f) under the Exchange Act) adopted or terminated a “Rule 10b5-1 trading arrangement” or “non-Rule 10b5-1 trading arrangement,” as each term is defined in Item 408(a) of SEC Regulation S-K.</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6. EXHIBITS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w:t>
            </w:r>
          </w:p>
        </w:tc>
        <w:tc>
          <w:tcPr>
            <w:tcW w:w="12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3540" w:type="dxa"/>
            <w:vAlign w:val="bottom"/>
            <w:tcBorders>
              <w:top w:val="single" w:sz="8" w:color="auto"/>
              <w:bottom w:val="single" w:sz="8" w:color="auto"/>
            </w:tcBorders>
          </w:tcPr>
          <w:p>
            <w:pPr>
              <w:spacing w:after="0"/>
              <w:rPr>
                <w:sz w:val="20"/>
                <w:szCs w:val="20"/>
                <w:color w:val="auto"/>
              </w:rPr>
            </w:pPr>
          </w:p>
        </w:tc>
        <w:tc>
          <w:tcPr>
            <w:tcW w:w="6160" w:type="dxa"/>
            <w:vAlign w:val="bottom"/>
            <w:tcBorders>
              <w:top w:val="single" w:sz="8" w:color="auto"/>
              <w:bottom w:val="single" w:sz="8" w:color="auto"/>
            </w:tcBorders>
            <w:gridSpan w:val="17"/>
          </w:tcPr>
          <w:p>
            <w:pPr>
              <w:ind w:left="8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3"/>
                <w:szCs w:val="13"/>
                <w:color w:val="auto"/>
              </w:rPr>
            </w:pPr>
          </w:p>
        </w:tc>
        <w:tc>
          <w:tcPr>
            <w:tcW w:w="12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3.1 and 4.1</w:t>
            </w:r>
          </w:p>
        </w:tc>
        <w:tc>
          <w:tcPr>
            <w:tcW w:w="9700" w:type="dxa"/>
            <w:vAlign w:val="bottom"/>
            <w:gridSpan w:val="18"/>
          </w:tcPr>
          <w:p>
            <w:pPr>
              <w:spacing w:after="0" w:line="161" w:lineRule="exact"/>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Restated Certificate of Incorporation of The Toro Company (incorporated by reference to Exhibit 3.1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20" w:type="dxa"/>
            <w:vAlign w:val="bottom"/>
            <w:tcBorders>
              <w:top w:val="single" w:sz="8" w:color="0000FF"/>
              <w:bottom w:val="single" w:sz="8" w:color="0000FF"/>
            </w:tcBorders>
            <w:gridSpan w:val="4"/>
          </w:tcPr>
          <w:p>
            <w:pPr>
              <w:spacing w:after="0" w:line="135" w:lineRule="exact"/>
              <w:rPr>
                <w:rFonts w:ascii="Times New Roman" w:cs="Times New Roman" w:eastAsia="Times New Roman" w:hAnsi="Times New Roman"/>
                <w:sz w:val="15"/>
                <w:szCs w:val="15"/>
                <w:color w:val="0000FF"/>
              </w:rPr>
            </w:pPr>
            <w:hyperlink r:id="rId52">
              <w:r>
                <w:rPr>
                  <w:rFonts w:ascii="Times New Roman" w:cs="Times New Roman" w:eastAsia="Times New Roman" w:hAnsi="Times New Roman"/>
                  <w:sz w:val="15"/>
                  <w:szCs w:val="15"/>
                  <w:color w:val="0000FF"/>
                </w:rPr>
                <w:t>as filed with the Securities and Exchange Commission on June 18, 2008, Commission File No. 1-8649).</w:t>
              </w:r>
            </w:hyperlink>
          </w:p>
        </w:tc>
        <w:tc>
          <w:tcPr>
            <w:tcW w:w="2780" w:type="dxa"/>
            <w:vAlign w:val="bottom"/>
            <w:tcBorders>
              <w:top w:val="single" w:sz="8" w:color="0000FF"/>
            </w:tcBorders>
            <w:gridSpan w:val="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3.2 and 4.2</w:t>
            </w:r>
          </w:p>
        </w:tc>
        <w:tc>
          <w:tcPr>
            <w:tcW w:w="9700" w:type="dxa"/>
            <w:vAlign w:val="bottom"/>
            <w:gridSpan w:val="18"/>
          </w:tcPr>
          <w:p>
            <w:pPr>
              <w:spacing w:after="0"/>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Certificate of Amendment to Restated Certificate of Incorporation of The Toro Company (incorporated by reference to Exhibit 3.1 to Registrant’s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40" w:type="dxa"/>
            <w:vAlign w:val="bottom"/>
            <w:tcBorders>
              <w:top w:val="single" w:sz="8" w:color="0000FF"/>
            </w:tcBorders>
            <w:gridSpan w:val="15"/>
          </w:tcPr>
          <w:p>
            <w:pPr>
              <w:spacing w:after="0" w:line="135" w:lineRule="exact"/>
              <w:rPr>
                <w:rFonts w:ascii="Times New Roman" w:cs="Times New Roman" w:eastAsia="Times New Roman" w:hAnsi="Times New Roman"/>
                <w:sz w:val="15"/>
                <w:szCs w:val="15"/>
                <w:color w:val="0000FF"/>
              </w:rPr>
            </w:pPr>
            <w:hyperlink r:id="rId53">
              <w:r>
                <w:rPr>
                  <w:rFonts w:ascii="Times New Roman" w:cs="Times New Roman" w:eastAsia="Times New Roman" w:hAnsi="Times New Roman"/>
                  <w:sz w:val="15"/>
                  <w:szCs w:val="15"/>
                  <w:color w:val="0000FF"/>
                </w:rPr>
                <w:t>Current Report on Form 8-K as filed with the Securities and Exchange Commission on March 13, 2013, Commission File No. 1-8649).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3.3 and 4.3</w:t>
            </w:r>
          </w:p>
        </w:tc>
        <w:tc>
          <w:tcPr>
            <w:tcW w:w="354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Amended and Restated Bylaws of The Toro Company (incorporated by reference to Exhibit 3.1 to Registrant’s Current Report on Form 8-K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40" w:type="dxa"/>
            <w:vAlign w:val="bottom"/>
            <w:tcBorders>
              <w:top w:val="single" w:sz="8" w:color="0000FF"/>
              <w:bottom w:val="single" w:sz="8" w:color="0000FF"/>
            </w:tcBorders>
            <w:gridSpan w:val="2"/>
          </w:tcPr>
          <w:p>
            <w:pPr>
              <w:spacing w:after="0" w:line="135" w:lineRule="exact"/>
              <w:rPr>
                <w:rFonts w:ascii="Times New Roman" w:cs="Times New Roman" w:eastAsia="Times New Roman" w:hAnsi="Times New Roman"/>
                <w:sz w:val="15"/>
                <w:szCs w:val="15"/>
                <w:color w:val="0000FF"/>
              </w:rPr>
            </w:pPr>
            <w:hyperlink r:id="rId54">
              <w:r>
                <w:rPr>
                  <w:rFonts w:ascii="Times New Roman" w:cs="Times New Roman" w:eastAsia="Times New Roman" w:hAnsi="Times New Roman"/>
                  <w:sz w:val="15"/>
                  <w:szCs w:val="15"/>
                  <w:color w:val="0000FF"/>
                </w:rPr>
                <w:t>filed with the Securities and Exchange Commission on May 30, 2023, Commission File No. 1-8649).</w:t>
              </w:r>
            </w:hyperlink>
          </w:p>
        </w:tc>
        <w:tc>
          <w:tcPr>
            <w:tcW w:w="300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4.4</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Indenture dated as of January 31, 1997, between The Toro Company and First National Trust Association, as Trustee, relating to The Toro</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00" w:type="dxa"/>
            <w:vAlign w:val="bottom"/>
            <w:gridSpan w:val="18"/>
          </w:tcPr>
          <w:p>
            <w:pPr>
              <w:spacing w:after="0" w:line="159" w:lineRule="exact"/>
              <w:rPr>
                <w:sz w:val="20"/>
                <w:szCs w:val="20"/>
                <w:color w:val="auto"/>
              </w:rPr>
            </w:pPr>
            <w:r>
              <w:rPr>
                <w:rFonts w:ascii="Times New Roman" w:cs="Times New Roman" w:eastAsia="Times New Roman" w:hAnsi="Times New Roman"/>
                <w:sz w:val="16"/>
                <w:szCs w:val="16"/>
                <w:color w:val="auto"/>
              </w:rPr>
              <w:t>Company’s 7.80% Debentures due June 15, 2027 (incorporated by reference to Exhibit 4(a) to Registrant’s Current Report on Form 8-K as filed</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auto"/>
              </w:rPr>
              <w:t>with the Securities and Exchange Commission on June 27, 1997, Commission File No. 1-8649). (Filed on paper - hyperlink is not required</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pursuant to Rule 105 of Regulation S-T).</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4.5</w:t>
            </w:r>
          </w:p>
        </w:tc>
        <w:tc>
          <w:tcPr>
            <w:tcW w:w="9700" w:type="dxa"/>
            <w:vAlign w:val="bottom"/>
            <w:gridSpan w:val="18"/>
          </w:tcPr>
          <w:p>
            <w:pPr>
              <w:spacing w:after="0"/>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Indenture dated as of April 20, 2007, between The Toro Company and The Bank of New York Trust Company, N.A., as Trustee, relating to The</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540" w:type="dxa"/>
            <w:vAlign w:val="bottom"/>
            <w:tcBorders>
              <w:top w:val="single" w:sz="8" w:color="0000FF"/>
              <w:bottom w:val="single" w:sz="8" w:color="0000FF"/>
            </w:tcBorders>
            <w:gridSpan w:val="10"/>
          </w:tcPr>
          <w:p>
            <w:pPr>
              <w:spacing w:after="0" w:line="135" w:lineRule="exact"/>
              <w:rPr>
                <w:rFonts w:ascii="Times New Roman" w:cs="Times New Roman" w:eastAsia="Times New Roman" w:hAnsi="Times New Roman"/>
                <w:sz w:val="15"/>
                <w:szCs w:val="15"/>
                <w:color w:val="0000FF"/>
              </w:rPr>
            </w:pPr>
            <w:hyperlink r:id="rId55">
              <w:r>
                <w:rPr>
                  <w:rFonts w:ascii="Times New Roman" w:cs="Times New Roman" w:eastAsia="Times New Roman" w:hAnsi="Times New Roman"/>
                  <w:sz w:val="15"/>
                  <w:szCs w:val="15"/>
                  <w:color w:val="0000FF"/>
                </w:rPr>
                <w:t>Toro Company’s 6.625% Notes due May 1, 2037 (incorporated by reference to Exhibit 4.3 to Registrant’s Registration Statement on Form S-3</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580" w:type="dxa"/>
            <w:vAlign w:val="bottom"/>
            <w:gridSpan w:val="12"/>
          </w:tcPr>
          <w:p>
            <w:pPr>
              <w:spacing w:after="0" w:line="148"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filed with the Securities and Exchange Commission on April 23, 2007, Registration No. 333-142282).</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4.6</w:t>
            </w:r>
          </w:p>
        </w:tc>
        <w:tc>
          <w:tcPr>
            <w:tcW w:w="3540" w:type="dxa"/>
            <w:vAlign w:val="bottom"/>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First Supplemental Indenture dated as of April 26, 2007, between The Toro Company and The Bank of New York Trust Company, N.A.,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60" w:type="dxa"/>
            <w:vAlign w:val="bottom"/>
            <w:tcBorders>
              <w:top w:val="single" w:sz="8" w:color="0000FF"/>
            </w:tcBorders>
            <w:gridSpan w:val="16"/>
          </w:tcPr>
          <w:p>
            <w:pPr>
              <w:spacing w:after="0" w:line="135" w:lineRule="exact"/>
              <w:rPr>
                <w:rFonts w:ascii="Times New Roman" w:cs="Times New Roman" w:eastAsia="Times New Roman" w:hAnsi="Times New Roman"/>
                <w:sz w:val="15"/>
                <w:szCs w:val="15"/>
                <w:color w:val="0000FF"/>
              </w:rPr>
            </w:pPr>
            <w:hyperlink r:id="rId56">
              <w:r>
                <w:rPr>
                  <w:rFonts w:ascii="Times New Roman" w:cs="Times New Roman" w:eastAsia="Times New Roman" w:hAnsi="Times New Roman"/>
                  <w:sz w:val="15"/>
                  <w:szCs w:val="15"/>
                  <w:color w:val="0000FF"/>
                </w:rPr>
                <w:t>Trustee, relating to The Toro Company’s 6.625% Notes due May 1, 2037 (incorporated by reference to Exhibit 4.1 to Registrant’s Current Report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760" w:type="dxa"/>
            <w:vAlign w:val="bottom"/>
            <w:tcBorders>
              <w:top w:val="single" w:sz="8" w:color="0000FF"/>
              <w:bottom w:val="single" w:sz="8" w:color="0000FF"/>
            </w:tcBorders>
            <w:gridSpan w:val="6"/>
          </w:tcPr>
          <w:p>
            <w:pPr>
              <w:spacing w:after="0" w:line="148"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on Form 8-K as filed with the Securities and Exchange Commission on April 26, 2007, Commission File No. 1-8649).</w:t>
              </w:r>
            </w:hyperlink>
          </w:p>
        </w:tc>
        <w:tc>
          <w:tcPr>
            <w:tcW w:w="1800" w:type="dxa"/>
            <w:vAlign w:val="bottom"/>
            <w:tcBorders>
              <w:top w:val="single" w:sz="8" w:color="0000FF"/>
            </w:tcBorders>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4.7</w:t>
            </w:r>
          </w:p>
        </w:tc>
        <w:tc>
          <w:tcPr>
            <w:tcW w:w="9700" w:type="dxa"/>
            <w:vAlign w:val="bottom"/>
            <w:gridSpan w:val="18"/>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Form of The Toro Company 6.625% Note due May 1, 2037 (incorporated by reference to Exhibit 4.2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80" w:type="dxa"/>
            <w:vAlign w:val="bottom"/>
            <w:tcBorders>
              <w:top w:val="single" w:sz="8" w:color="0000FF"/>
            </w:tcBorders>
            <w:gridSpan w:val="17"/>
          </w:tcPr>
          <w:p>
            <w:pPr>
              <w:spacing w:after="0" w:line="135" w:lineRule="exact"/>
              <w:rPr>
                <w:rFonts w:ascii="Times New Roman" w:cs="Times New Roman" w:eastAsia="Times New Roman" w:hAnsi="Times New Roman"/>
                <w:sz w:val="15"/>
                <w:szCs w:val="15"/>
                <w:color w:val="0000FF"/>
              </w:rPr>
            </w:pPr>
            <w:hyperlink r:id="rId57">
              <w:r>
                <w:rPr>
                  <w:rFonts w:ascii="Times New Roman" w:cs="Times New Roman" w:eastAsia="Times New Roman" w:hAnsi="Times New Roman"/>
                  <w:sz w:val="15"/>
                  <w:szCs w:val="15"/>
                  <w:color w:val="0000FF"/>
                </w:rPr>
                <w:t>as filed with the Securities and Exchange Commission on April 26, 2007, Commission File No. 1-8649).</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31.1</w:t>
            </w:r>
          </w:p>
        </w:tc>
        <w:tc>
          <w:tcPr>
            <w:tcW w:w="3540" w:type="dxa"/>
            <w:vAlign w:val="bottom"/>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(Section 302 of the Sarbanes-Oxley Act of 2002) (filed herewith).</w:t>
            </w: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31.2</w:t>
            </w:r>
          </w:p>
        </w:tc>
        <w:tc>
          <w:tcPr>
            <w:tcW w:w="87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(Section 302 of the Sarbanes-Oxley Act of 2002) (filed herewith).</w:t>
            </w:r>
          </w:p>
        </w:tc>
        <w:tc>
          <w:tcPr>
            <w:tcW w:w="40" w:type="dxa"/>
            <w:vAlign w:val="bottom"/>
            <w:tcBorders>
              <w:top w:val="single" w:sz="8" w:color="0000FF"/>
            </w:tcBorders>
          </w:tcPr>
          <w:p>
            <w:pPr>
              <w:spacing w:after="0"/>
              <w:rPr>
                <w:sz w:val="21"/>
                <w:szCs w:val="21"/>
                <w:color w:val="auto"/>
              </w:rPr>
            </w:pPr>
          </w:p>
        </w:tc>
        <w:tc>
          <w:tcPr>
            <w:tcW w:w="9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32</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and Chief Financial Officer Pursuant to 18 U.S.C. Section 1350, as Adopted Pursuant to Section 906 of</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540" w:type="dxa"/>
            <w:vAlign w:val="bottom"/>
            <w:tcBorders>
              <w:top w:val="single" w:sz="8" w:color="0000FF"/>
              <w:bottom w:val="single" w:sz="8" w:color="0000FF"/>
            </w:tcBorders>
          </w:tcPr>
          <w:p>
            <w:pPr>
              <w:spacing w:after="0" w:line="135" w:lineRule="exact"/>
              <w:rPr>
                <w:sz w:val="20"/>
                <w:szCs w:val="20"/>
                <w:color w:val="auto"/>
              </w:rPr>
            </w:pPr>
            <w:r>
              <w:rPr>
                <w:rFonts w:ascii="Times New Roman" w:cs="Times New Roman" w:eastAsia="Times New Roman" w:hAnsi="Times New Roman"/>
                <w:sz w:val="15"/>
                <w:szCs w:val="15"/>
                <w:color w:val="0000FF"/>
              </w:rPr>
              <w:t>the Sarbanes-Oxley Act of 2002 (furnished herewith).</w:t>
            </w:r>
          </w:p>
        </w:tc>
        <w:tc>
          <w:tcPr>
            <w:tcW w:w="6080" w:type="dxa"/>
            <w:vAlign w:val="bottom"/>
            <w:tcBorders>
              <w:top w:val="single" w:sz="8" w:color="0000FF"/>
            </w:tcBorders>
            <w:gridSpan w:val="13"/>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101</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The following financial information from The Toro Company’s Quarterly Report on Form 10-Q for the quarterly period ended February 2, 2024,</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00" w:type="dxa"/>
            <w:vAlign w:val="bottom"/>
            <w:gridSpan w:val="18"/>
          </w:tcPr>
          <w:p>
            <w:pPr>
              <w:spacing w:after="0" w:line="159" w:lineRule="exact"/>
              <w:rPr>
                <w:sz w:val="20"/>
                <w:szCs w:val="20"/>
                <w:color w:val="auto"/>
              </w:rPr>
            </w:pPr>
            <w:r>
              <w:rPr>
                <w:rFonts w:ascii="Times New Roman" w:cs="Times New Roman" w:eastAsia="Times New Roman" w:hAnsi="Times New Roman"/>
                <w:sz w:val="16"/>
                <w:szCs w:val="16"/>
                <w:color w:val="auto"/>
              </w:rPr>
              <w:t>filed with the SEC on March 7, 2024, formatted in Inline eXtensible Business Reporting Language (Inline XBRL): (i) Condensed Consolidated</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auto"/>
              </w:rPr>
              <w:t>Statements of Earnings for the three month periods ended February 2, 2024 and February 3, 2023, (ii) Condensed Consolidated Statements of</w:t>
            </w:r>
          </w:p>
        </w:tc>
        <w:tc>
          <w:tcPr>
            <w:tcW w:w="0" w:type="dxa"/>
            <w:vAlign w:val="bottom"/>
          </w:tcPr>
          <w:p>
            <w:pPr>
              <w:spacing w:after="0"/>
              <w:rPr>
                <w:sz w:val="1"/>
                <w:szCs w:val="1"/>
                <w:color w:val="auto"/>
              </w:rPr>
            </w:pPr>
          </w:p>
        </w:tc>
      </w:tr>
      <w:tr>
        <w:trPr>
          <w:trHeight w:val="164"/>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4" w:lineRule="exact"/>
              <w:rPr>
                <w:sz w:val="20"/>
                <w:szCs w:val="20"/>
                <w:color w:val="auto"/>
              </w:rPr>
            </w:pPr>
            <w:r>
              <w:rPr>
                <w:rFonts w:ascii="Times New Roman" w:cs="Times New Roman" w:eastAsia="Times New Roman" w:hAnsi="Times New Roman"/>
                <w:sz w:val="16"/>
                <w:szCs w:val="16"/>
                <w:color w:val="auto"/>
              </w:rPr>
              <w:t>Comprehensive Income for the three month periods ended February 2, 2024 and February 3, 2023, (iii) Condensed Consolidated Balance Sheets</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00" w:type="dxa"/>
            <w:vAlign w:val="bottom"/>
            <w:gridSpan w:val="18"/>
          </w:tcPr>
          <w:p>
            <w:pPr>
              <w:spacing w:after="0" w:line="159" w:lineRule="exact"/>
              <w:rPr>
                <w:sz w:val="20"/>
                <w:szCs w:val="20"/>
                <w:color w:val="auto"/>
              </w:rPr>
            </w:pPr>
            <w:r>
              <w:rPr>
                <w:rFonts w:ascii="Times New Roman" w:cs="Times New Roman" w:eastAsia="Times New Roman" w:hAnsi="Times New Roman"/>
                <w:sz w:val="16"/>
                <w:szCs w:val="16"/>
                <w:color w:val="auto"/>
              </w:rPr>
              <w:t>as of February 2, 2024, February 3, 2023, and October 31, 2023, (iv) Condensed Consolidated Statement of Cash Flows for the three month</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auto"/>
              </w:rPr>
              <w:t>periods ended February 2, 2024 and February 3, 2023, (v) Condensed Consolidated Statements of Stockholders' Equity for the three month</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periods ended February 2, 2024 and February 3, 2023, and (vi) Notes to Condensed Consolidated Financial Statements (filed herewith).</w:t>
            </w:r>
          </w:p>
        </w:tc>
        <w:tc>
          <w:tcPr>
            <w:tcW w:w="0" w:type="dxa"/>
            <w:vAlign w:val="bottom"/>
          </w:tcPr>
          <w:p>
            <w:pPr>
              <w:spacing w:after="0"/>
              <w:rPr>
                <w:sz w:val="1"/>
                <w:szCs w:val="1"/>
                <w:color w:val="auto"/>
              </w:rPr>
            </w:pPr>
          </w:p>
        </w:tc>
      </w:tr>
      <w:tr>
        <w:trPr>
          <w:trHeight w:val="271"/>
        </w:trPr>
        <w:tc>
          <w:tcPr>
            <w:tcW w:w="38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104</w:t>
            </w:r>
          </w:p>
        </w:tc>
        <w:tc>
          <w:tcPr>
            <w:tcW w:w="9700" w:type="dxa"/>
            <w:vAlign w:val="bottom"/>
            <w:gridSpan w:val="18"/>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8140" w:type="dxa"/>
            <w:vAlign w:val="bottom"/>
            <w:gridSpan w:val="2"/>
          </w:tcPr>
          <w:p>
            <w:pPr>
              <w:jc w:val="center"/>
              <w:ind w:right="2994"/>
              <w:spacing w:after="0"/>
              <w:rPr>
                <w:sz w:val="20"/>
                <w:szCs w:val="20"/>
                <w:color w:val="auto"/>
              </w:rPr>
            </w:pPr>
            <w:r>
              <w:rPr>
                <w:rFonts w:ascii="Times New Roman" w:cs="Times New Roman" w:eastAsia="Times New Roman" w:hAnsi="Times New Roman"/>
                <w:sz w:val="17"/>
                <w:szCs w:val="17"/>
                <w:color w:val="auto"/>
              </w:rPr>
              <w:t>THE TORO COMPANY</w:t>
            </w:r>
          </w:p>
        </w:tc>
      </w:tr>
      <w:tr>
        <w:trPr>
          <w:trHeight w:val="223"/>
        </w:trPr>
        <w:tc>
          <w:tcPr>
            <w:tcW w:w="3080" w:type="dxa"/>
            <w:vAlign w:val="bottom"/>
          </w:tcPr>
          <w:p>
            <w:pPr>
              <w:spacing w:after="0"/>
              <w:rPr>
                <w:sz w:val="19"/>
                <w:szCs w:val="19"/>
                <w:color w:val="auto"/>
              </w:rPr>
            </w:pPr>
          </w:p>
        </w:tc>
        <w:tc>
          <w:tcPr>
            <w:tcW w:w="8140" w:type="dxa"/>
            <w:vAlign w:val="bottom"/>
            <w:gridSpan w:val="2"/>
          </w:tcPr>
          <w:p>
            <w:pPr>
              <w:jc w:val="center"/>
              <w:ind w:right="2994"/>
              <w:spacing w:after="0"/>
              <w:rPr>
                <w:sz w:val="20"/>
                <w:szCs w:val="20"/>
                <w:color w:val="auto"/>
              </w:rPr>
            </w:pPr>
            <w:r>
              <w:rPr>
                <w:rFonts w:ascii="Times New Roman" w:cs="Times New Roman" w:eastAsia="Times New Roman" w:hAnsi="Times New Roman"/>
                <w:sz w:val="17"/>
                <w:szCs w:val="17"/>
                <w:color w:val="auto"/>
              </w:rPr>
              <w:t>(Registrant)</w:t>
            </w:r>
          </w:p>
        </w:tc>
      </w:tr>
      <w:tr>
        <w:trPr>
          <w:trHeight w:val="400"/>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Date: March 7, 2024</w:t>
            </w:r>
          </w:p>
        </w:tc>
        <w:tc>
          <w:tcPr>
            <w:tcW w:w="8140" w:type="dxa"/>
            <w:vAlign w:val="bottom"/>
            <w:gridSpan w:val="2"/>
          </w:tcPr>
          <w:p>
            <w:pPr>
              <w:ind w:left="2480"/>
              <w:spacing w:after="0"/>
              <w:rPr>
                <w:sz w:val="20"/>
                <w:szCs w:val="20"/>
                <w:color w:val="auto"/>
              </w:rPr>
            </w:pPr>
            <w:r>
              <w:rPr>
                <w:rFonts w:ascii="Times New Roman" w:cs="Times New Roman" w:eastAsia="Times New Roman" w:hAnsi="Times New Roman"/>
                <w:sz w:val="17"/>
                <w:szCs w:val="17"/>
                <w:color w:val="auto"/>
              </w:rPr>
              <w:t>By:   /s/ Angela C. Drake</w:t>
            </w:r>
          </w:p>
        </w:tc>
      </w:tr>
      <w:tr>
        <w:trPr>
          <w:trHeight w:val="209"/>
        </w:trPr>
        <w:tc>
          <w:tcPr>
            <w:tcW w:w="30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Angela C. Drake</w:t>
            </w:r>
          </w:p>
        </w:tc>
      </w:tr>
      <w:tr>
        <w:trPr>
          <w:trHeight w:val="220"/>
        </w:trPr>
        <w:tc>
          <w:tcPr>
            <w:tcW w:w="30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tc>
      </w:tr>
      <w:tr>
        <w:trPr>
          <w:trHeight w:val="171"/>
        </w:trPr>
        <w:tc>
          <w:tcPr>
            <w:tcW w:w="3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16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(duly authorized officer, principal financial officer, and principal</w:t>
            </w:r>
          </w:p>
        </w:tc>
      </w:tr>
      <w:tr>
        <w:trPr>
          <w:trHeight w:val="223"/>
        </w:trPr>
        <w:tc>
          <w:tcPr>
            <w:tcW w:w="30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240"/>
          </w:cols>
          <w:pgMar w:left="320" w:top="12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Rule 13a-14(a)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Richard M. Olson, certify that:</w:t>
      </w:r>
    </w:p>
    <w:p>
      <w:pPr>
        <w:spacing w:after="0" w:line="218" w:lineRule="exact"/>
        <w:rPr>
          <w:sz w:val="20"/>
          <w:szCs w:val="20"/>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Toro Company;</w:t>
      </w:r>
    </w:p>
    <w:p>
      <w:pPr>
        <w:spacing w:after="0" w:line="217"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53" w:lineRule="auto"/>
        <w:tabs>
          <w:tab w:leader="none" w:pos="12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40" w:hanging="306"/>
        <w:spacing w:after="0" w:line="253" w:lineRule="auto"/>
        <w:tabs>
          <w:tab w:leader="none" w:pos="12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240" w:hanging="306"/>
        <w:spacing w:after="0" w:line="264" w:lineRule="auto"/>
        <w:tabs>
          <w:tab w:leader="none" w:pos="123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6"/>
        <w:spacing w:after="0" w:line="267" w:lineRule="auto"/>
        <w:tabs>
          <w:tab w:leader="none" w:pos="12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7, 2024</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Richard M. Olson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3803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Rule 13a-14(a)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Angela C. Drake, certify that:</w:t>
      </w:r>
    </w:p>
    <w:p>
      <w:pPr>
        <w:spacing w:after="0" w:line="218"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Toro Company;</w:t>
      </w:r>
    </w:p>
    <w:p>
      <w:pPr>
        <w:spacing w:after="0" w:line="243"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3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53" w:lineRule="auto"/>
        <w:tabs>
          <w:tab w:leader="none" w:pos="12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40" w:hanging="306"/>
        <w:spacing w:after="0" w:line="253" w:lineRule="auto"/>
        <w:tabs>
          <w:tab w:leader="none" w:pos="123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240" w:hanging="306"/>
        <w:spacing w:after="0" w:line="264" w:lineRule="auto"/>
        <w:tabs>
          <w:tab w:leader="none" w:pos="123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6"/>
        <w:spacing w:after="0" w:line="267" w:lineRule="auto"/>
        <w:tabs>
          <w:tab w:leader="none" w:pos="12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7, 2024</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Angela C. Drake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3803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quarterly period ended February 2, 2024 of The Toro Company (the “Company”) as filed with the Securities and Exchange Commission on the date hereof (the “Report”), we, Richard M. Olson, Chairman of the Board, President and Chief Executive Officer of the Company, and Angela C. Drake, Vice President, Chief Financial Officer of the Company, certify, pursuant to 18 U.S.C. Section 1350, as adopted pursuant to Section 906 of the Sarbanes-Oxley Act of 2002, that to our knowledge:</w:t>
      </w:r>
    </w:p>
    <w:p>
      <w:pPr>
        <w:spacing w:after="0" w:line="170"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Richard M. Olson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7, 2024</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Angela C. Drake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7, 2024</w:t>
      </w:r>
    </w:p>
    <w:p>
      <w:pPr>
        <w:spacing w:after="0" w:line="200" w:lineRule="exact"/>
        <w:rPr>
          <w:sz w:val="20"/>
          <w:szCs w:val="20"/>
          <w:color w:val="auto"/>
        </w:rPr>
      </w:pPr>
    </w:p>
    <w:p>
      <w:pPr>
        <w:spacing w:after="0" w:line="26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3803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bullet"/>
      <w:start w:val="1"/>
    </w:lvl>
  </w:abstractNum>
  <w:abstractNum w:abstractNumId="5">
    <w:nsid w:val="7FDCC233"/>
    <w:multiLevelType w:val="hybridMultilevel"/>
    <w:lvl w:ilvl="0">
      <w:lvlJc w:val="left"/>
      <w:lvlText w:val="1"/>
      <w:numFmt w:val="bullet"/>
      <w:start w:val="1"/>
    </w:lvl>
  </w:abstractNum>
  <w:abstractNum w:abstractNumId="6">
    <w:nsid w:val="1BEFD79F"/>
    <w:multiLevelType w:val="hybridMultilevel"/>
    <w:lvl w:ilvl="0">
      <w:lvlJc w:val="left"/>
      <w:lvlText w:val="2"/>
      <w:numFmt w:val="bullet"/>
      <w:start w:val="1"/>
    </w:lvl>
  </w:abstractNum>
  <w:abstractNum w:abstractNumId="7">
    <w:nsid w:val="41A7C4C9"/>
    <w:multiLevelType w:val="hybridMultilevel"/>
    <w:lvl w:ilvl="0">
      <w:lvlJc w:val="left"/>
      <w:lvlText w:val="3"/>
      <w:numFmt w:val="bullet"/>
      <w:start w:val="1"/>
    </w:lvl>
  </w:abstractNum>
  <w:abstractNum w:abstractNumId="8">
    <w:nsid w:val="6B68079A"/>
    <w:multiLevelType w:val="hybridMultilevel"/>
    <w:lvl w:ilvl="0">
      <w:lvlJc w:val="left"/>
      <w:lvlText w:val="4"/>
      <w:numFmt w:val="bullet"/>
      <w:start w:val="1"/>
    </w:lvl>
  </w:abstractNum>
  <w:abstractNum w:abstractNumId="9">
    <w:nsid w:val="4E6AFB66"/>
    <w:multiLevelType w:val="hybridMultilevel"/>
    <w:lvl w:ilvl="0">
      <w:lvlJc w:val="left"/>
      <w:lvlText w:val="6"/>
      <w:numFmt w:val="bullet"/>
      <w:start w:val="1"/>
    </w:lvl>
  </w:abstractNum>
  <w:abstractNum w:abstractNumId="10">
    <w:nsid w:val="25E45D32"/>
    <w:multiLevelType w:val="hybridMultilevel"/>
    <w:lvl w:ilvl="0">
      <w:lvlJc w:val="left"/>
      <w:lvlText w:val="7"/>
      <w:numFmt w:val="bullet"/>
      <w:start w:val="1"/>
    </w:lvl>
  </w:abstractNum>
  <w:abstractNum w:abstractNumId="11">
    <w:nsid w:val="519B500D"/>
    <w:multiLevelType w:val="hybridMultilevel"/>
    <w:lvl w:ilvl="0">
      <w:lvlJc w:val="left"/>
      <w:lvlText w:val="8"/>
      <w:numFmt w:val="bullet"/>
      <w:start w:val="1"/>
    </w:lvl>
  </w:abstractNum>
  <w:abstractNum w:abstractNumId="12">
    <w:nsid w:val="431BD7B7"/>
    <w:multiLevelType w:val="hybridMultilevel"/>
    <w:lvl w:ilvl="0">
      <w:lvlJc w:val="left"/>
      <w:lvlText w:val="9"/>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bullet"/>
      <w:start w:val="1"/>
    </w:lvl>
  </w:abstractNum>
  <w:abstractNum w:abstractNumId="15">
    <w:nsid w:val="257130A3"/>
    <w:multiLevelType w:val="hybridMultilevel"/>
    <w:lvl w:ilvl="0">
      <w:lvlJc w:val="left"/>
      <w:lvlText w:val="2"/>
      <w:numFmt w:val="bullet"/>
      <w:start w:val="1"/>
    </w:lvl>
  </w:abstractNum>
  <w:abstractNum w:abstractNumId="16">
    <w:nsid w:val="62BBD95A"/>
    <w:multiLevelType w:val="hybridMultilevel"/>
    <w:lvl w:ilvl="0">
      <w:lvlJc w:val="left"/>
      <w:lvlText w:val="3"/>
      <w:numFmt w:val="bullet"/>
      <w:start w:val="1"/>
    </w:lvl>
  </w:abstractNum>
  <w:abstractNum w:abstractNumId="17">
    <w:nsid w:val="436C6125"/>
    <w:multiLevelType w:val="hybridMultilevel"/>
    <w:lvl w:ilvl="0">
      <w:lvlJc w:val="left"/>
      <w:lvlText w:val="1"/>
      <w:numFmt w:val="bullet"/>
      <w:start w:val="1"/>
    </w:lvl>
  </w:abstractNum>
  <w:abstractNum w:abstractNumId="18">
    <w:nsid w:val="628C895D"/>
    <w:multiLevelType w:val="hybridMultilevel"/>
    <w:lvl w:ilvl="0">
      <w:lvlJc w:val="left"/>
      <w:lvlText w:val="2"/>
      <w:numFmt w:val="bullet"/>
      <w:start w:val="1"/>
    </w:lvl>
  </w:abstractNum>
  <w:abstractNum w:abstractNumId="19">
    <w:nsid w:val="333AB105"/>
    <w:multiLevelType w:val="hybridMultilevel"/>
    <w:lvl w:ilvl="0">
      <w:lvlJc w:val="left"/>
      <w:lvlText w:val="3"/>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52" Type="http://schemas.openxmlformats.org/officeDocument/2006/relationships/hyperlink" Target="http://www.sec.gov/Archives/edgar/data/737758/000073775808000033/form8-k06172008exhibitcert.htm" TargetMode="External"/><Relationship Id="rId53" Type="http://schemas.openxmlformats.org/officeDocument/2006/relationships/hyperlink" Target="http://www.sec.gov/Archives/edgar/data/737758/000119312513105223/d501846dex31.htm" TargetMode="External"/><Relationship Id="rId54" Type="http://schemas.openxmlformats.org/officeDocument/2006/relationships/hyperlink" Target="https://www.sec.gov/Archives/edgar/data/737758/000114036123027141/brhc20053547_3-1.htm" TargetMode="External"/><Relationship Id="rId55" Type="http://schemas.openxmlformats.org/officeDocument/2006/relationships/hyperlink" Target="http://www.sec.gov/Archives/edgar/data/737758/000110465907030051/a07-10570_1ex4d3.htm" TargetMode="External"/><Relationship Id="rId56" Type="http://schemas.openxmlformats.org/officeDocument/2006/relationships/hyperlink" Target="http://www.sec.gov/Archives/edgar/data/737758/000110465907031757/a07-10570_5ex4d1.htm" TargetMode="External"/><Relationship Id="rId57" Type="http://schemas.openxmlformats.org/officeDocument/2006/relationships/hyperlink" Target="http://www.sec.gov/Archives/edgar/data/737758/000110465907031757/a07-10570_5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2024-03-07T11:31:53Z</dcterms:created>
  <dcterms:modified xsi:type="dcterms:W3CDTF">2024-03-07T11:31:53Z</dcterms:modified>
</cp:coreProperties>
</file>