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454660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82" w:lineRule="exact"/>
        <w:rPr>
          <w:sz w:val="24"/>
          <w:szCs w:val="24"/>
          <w:color w:val="auto"/>
        </w:rPr>
      </w:pPr>
    </w:p>
    <w:p>
      <w:pPr>
        <w:ind w:left="1880" w:hanging="314"/>
        <w:spacing w:after="0"/>
        <w:tabs>
          <w:tab w:leader="none" w:pos="18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1, 2026</w:t>
      </w:r>
    </w:p>
    <w:p>
      <w:pPr>
        <w:spacing w:after="0" w:line="256" w:lineRule="exact"/>
        <w:rPr>
          <w:sz w:val="24"/>
          <w:szCs w:val="24"/>
          <w:color w:val="auto"/>
        </w:rPr>
      </w:pPr>
    </w:p>
    <w:p>
      <w:pPr>
        <w:ind w:left="1880" w:hanging="351"/>
        <w:spacing w:after="0"/>
        <w:tabs>
          <w:tab w:leader="none" w:pos="18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54" w:lineRule="exact"/>
        <w:rPr>
          <w:sz w:val="24"/>
          <w:szCs w:val="24"/>
          <w:color w:val="auto"/>
        </w:rPr>
      </w:pPr>
    </w:p>
    <w:p>
      <w:pPr>
        <w:jc w:val="right"/>
        <w:ind w:right="434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1" w:lineRule="exact"/>
        <w:rPr>
          <w:sz w:val="24"/>
          <w:szCs w:val="24"/>
          <w:color w:val="auto"/>
        </w:rPr>
      </w:pPr>
    </w:p>
    <w:p>
      <w:pPr>
        <w:jc w:val="right"/>
        <w:ind w:right="44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1-8649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229" w:right="319" w:bottom="1440" w:gutter="0" w:footer="0" w:header="0"/>
        </w:sectPr>
      </w:pPr>
    </w:p>
    <w:p>
      <w:pPr>
        <w:spacing w:after="0" w:line="12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9" w:lineRule="exact"/>
        <w:rPr>
          <w:sz w:val="24"/>
          <w:szCs w:val="24"/>
          <w:color w:val="auto"/>
        </w:rPr>
      </w:pPr>
    </w:p>
    <w:p>
      <w:pPr>
        <w:sectPr>
          <w:pgSz w:w="11900" w:h="16838" w:orient="portrait"/>
          <w:cols w:equalWidth="0" w:num="2">
            <w:col w:w="8060" w:space="720"/>
            <w:col w:w="2480"/>
          </w:cols>
          <w:pgMar w:left="320" w:top="229"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0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379" w:lineRule="exact"/>
        <w:rPr>
          <w:sz w:val="24"/>
          <w:szCs w:val="24"/>
          <w:color w:val="auto"/>
        </w:rPr>
      </w:pPr>
    </w:p>
    <w:p>
      <w:pPr>
        <w:sectPr>
          <w:pgSz w:w="11900" w:h="16838" w:orient="portrait"/>
          <w:cols w:equalWidth="0" w:num="2">
            <w:col w:w="7380" w:space="720"/>
            <w:col w:w="3160"/>
          </w:cols>
          <w:pgMar w:left="320" w:top="229" w:right="319" w:bottom="1440" w:gutter="0" w:footer="0" w:header="0"/>
          <w:type w:val="continuous"/>
        </w:sectPr>
      </w:pPr>
    </w:p>
    <w:p>
      <w:pPr>
        <w:spacing w:after="0" w:line="13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Bloomington, Minnesota 55420-1196</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19"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ind w:right="2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8"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May 28, 2026 was 95,229,534.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ind w:left="2460"/>
              <w:spacing w:after="0"/>
              <w:rPr>
                <w:sz w:val="20"/>
                <w:szCs w:val="20"/>
                <w:color w:val="auto"/>
              </w:rPr>
            </w:pPr>
            <w:r>
              <w:rPr>
                <w:rFonts w:ascii="Times New Roman" w:cs="Times New Roman" w:eastAsia="Times New Roman" w:hAnsi="Times New Roman"/>
                <w:sz w:val="17"/>
                <w:szCs w:val="17"/>
                <w:b w:val="1"/>
                <w:bCs w:val="1"/>
                <w:color w:val="auto"/>
              </w:rPr>
              <w:t>Page Number</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20" w:type="dxa"/>
            <w:vAlign w:val="bottom"/>
            <w:gridSpan w:val="29"/>
          </w:tcPr>
          <w:p>
            <w:pPr>
              <w:spacing w:after="0"/>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44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1720" w:type="dxa"/>
            <w:vAlign w:val="bottom"/>
            <w:gridSpan w:val="6"/>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80" w:type="dxa"/>
            <w:vAlign w:val="bottom"/>
            <w:tcBorders>
              <w:top w:val="single" w:sz="8" w:color="0000FF"/>
            </w:tcBorders>
          </w:tcPr>
          <w:p>
            <w:pPr>
              <w:spacing w:after="0"/>
              <w:rPr>
                <w:sz w:val="24"/>
                <w:szCs w:val="24"/>
                <w:color w:val="auto"/>
              </w:rPr>
            </w:pPr>
          </w:p>
        </w:tc>
        <w:tc>
          <w:tcPr>
            <w:tcW w:w="780" w:type="dxa"/>
            <w:vAlign w:val="bottom"/>
            <w:gridSpan w:val="3"/>
          </w:tcPr>
          <w:p>
            <w:pPr>
              <w:spacing w:after="0"/>
              <w:rPr>
                <w:sz w:val="24"/>
                <w:szCs w:val="24"/>
                <w:color w:val="auto"/>
              </w:rPr>
            </w:pPr>
          </w:p>
        </w:tc>
        <w:tc>
          <w:tcPr>
            <w:tcW w:w="14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Financial Statements</w:t>
            </w:r>
          </w:p>
        </w:tc>
        <w:tc>
          <w:tcPr>
            <w:tcW w:w="880" w:type="dxa"/>
            <w:vAlign w:val="bottom"/>
            <w:tcBorders>
              <w:top w:val="single" w:sz="8" w:color="0000FF"/>
            </w:tcBorders>
            <w:gridSpan w:val="6"/>
          </w:tcPr>
          <w:p>
            <w:pPr>
              <w:spacing w:after="0"/>
              <w:rPr>
                <w:sz w:val="24"/>
                <w:szCs w:val="24"/>
                <w:color w:val="auto"/>
              </w:rPr>
            </w:pPr>
          </w:p>
        </w:tc>
        <w:tc>
          <w:tcPr>
            <w:tcW w:w="3820" w:type="dxa"/>
            <w:vAlign w:val="bottom"/>
            <w:gridSpan w:val="12"/>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Earnings (Unaudited)</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2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600" w:type="dxa"/>
            <w:vAlign w:val="bottom"/>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800" w:type="dxa"/>
            <w:vAlign w:val="bottom"/>
            <w:gridSpan w:val="2"/>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860" w:type="dxa"/>
            <w:vAlign w:val="bottom"/>
            <w:gridSpan w:val="4"/>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60" w:type="dxa"/>
            <w:vAlign w:val="bottom"/>
            <w:gridSpan w:val="4"/>
            <w:vMerge w:val="continue"/>
          </w:tcPr>
          <w:p>
            <w:pPr>
              <w:spacing w:after="0"/>
              <w:rPr>
                <w:sz w:val="24"/>
                <w:szCs w:val="24"/>
                <w:color w:val="auto"/>
              </w:rPr>
            </w:pPr>
          </w:p>
        </w:tc>
        <w:tc>
          <w:tcPr>
            <w:tcW w:w="61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Company Overview</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Results of Operations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Business Segments</w:t>
            </w:r>
          </w:p>
        </w:tc>
        <w:tc>
          <w:tcPr>
            <w:tcW w:w="4340" w:type="dxa"/>
            <w:vAlign w:val="bottom"/>
            <w:gridSpan w:val="14"/>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Financial Position</w:t>
            </w:r>
          </w:p>
        </w:tc>
        <w:tc>
          <w:tcPr>
            <w:tcW w:w="4500" w:type="dxa"/>
            <w:vAlign w:val="bottom"/>
            <w:gridSpan w:val="16"/>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w w:val="99"/>
              </w:rPr>
              <w:t>Non-GAAP Financial Measures</w:t>
            </w:r>
          </w:p>
        </w:tc>
        <w:tc>
          <w:tcPr>
            <w:tcW w:w="3620" w:type="dxa"/>
            <w:vAlign w:val="bottom"/>
            <w:gridSpan w:val="11"/>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Critical Accounting Policies and Estimates</w:t>
            </w:r>
          </w:p>
        </w:tc>
        <w:tc>
          <w:tcPr>
            <w:tcW w:w="2880" w:type="dxa"/>
            <w:vAlign w:val="bottom"/>
            <w:gridSpan w:val="10"/>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3.</w:t>
            </w:r>
          </w:p>
        </w:tc>
        <w:tc>
          <w:tcPr>
            <w:tcW w:w="860" w:type="dxa"/>
            <w:vAlign w:val="bottom"/>
            <w:gridSpan w:val="4"/>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60" w:type="dxa"/>
            <w:vAlign w:val="bottom"/>
            <w:gridSpan w:val="4"/>
            <w:vMerge w:val="continue"/>
          </w:tcPr>
          <w:p>
            <w:pPr>
              <w:spacing w:after="0"/>
              <w:rPr>
                <w:sz w:val="24"/>
                <w:szCs w:val="24"/>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40" w:type="dxa"/>
            <w:vAlign w:val="bottom"/>
            <w:gridSpan w:val="8"/>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4.</w:t>
            </w:r>
          </w:p>
        </w:tc>
        <w:tc>
          <w:tcPr>
            <w:tcW w:w="860" w:type="dxa"/>
            <w:vAlign w:val="bottom"/>
            <w:gridSpan w:val="4"/>
          </w:tcPr>
          <w:p>
            <w:pPr>
              <w:spacing w:after="0"/>
              <w:rPr>
                <w:sz w:val="24"/>
                <w:szCs w:val="24"/>
                <w:color w:val="auto"/>
              </w:rPr>
            </w:pPr>
          </w:p>
        </w:tc>
        <w:tc>
          <w:tcPr>
            <w:tcW w:w="41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040" w:type="dxa"/>
            <w:vAlign w:val="bottom"/>
            <w:gridSpan w:val="8"/>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61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140" w:type="dxa"/>
            <w:vAlign w:val="bottom"/>
            <w:tcBorders>
              <w:top w:val="single" w:sz="8" w:color="0000FF"/>
            </w:tcBorders>
            <w:gridSpan w:val="3"/>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720" w:type="dxa"/>
            <w:vAlign w:val="bottom"/>
            <w:tcBorders>
              <w:top w:val="single" w:sz="8" w:color="0000FF"/>
            </w:tcBorders>
            <w:gridSpan w:val="6"/>
          </w:tcPr>
          <w:p>
            <w:pPr>
              <w:spacing w:after="0"/>
              <w:rPr>
                <w:sz w:val="24"/>
                <w:szCs w:val="24"/>
                <w:color w:val="auto"/>
              </w:rPr>
            </w:pPr>
          </w:p>
        </w:tc>
        <w:tc>
          <w:tcPr>
            <w:tcW w:w="4160" w:type="dxa"/>
            <w:vAlign w:val="bottom"/>
            <w:gridSpan w:val="13"/>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80" w:type="dxa"/>
            <w:vAlign w:val="bottom"/>
            <w:tcBorders>
              <w:left w:val="single" w:sz="8" w:color="0000FF"/>
            </w:tcBorders>
            <w:gridSpan w:val="1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Item 1A.</w:t>
            </w:r>
          </w:p>
        </w:tc>
        <w:tc>
          <w:tcPr>
            <w:tcW w:w="61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12"/>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120" w:type="dxa"/>
            <w:vAlign w:val="bottom"/>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414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000" w:type="dxa"/>
            <w:vAlign w:val="bottom"/>
            <w:gridSpan w:val="7"/>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5.</w:t>
            </w:r>
          </w:p>
        </w:tc>
        <w:tc>
          <w:tcPr>
            <w:tcW w:w="860" w:type="dxa"/>
            <w:vAlign w:val="bottom"/>
            <w:gridSpan w:val="4"/>
            <w:vMerge w:val="restart"/>
          </w:tcPr>
          <w:p>
            <w:pPr>
              <w:spacing w:after="0" w:line="20" w:lineRule="exact"/>
              <w:rPr>
                <w:sz w:val="1"/>
                <w:szCs w:val="1"/>
                <w:color w:val="auto"/>
              </w:rPr>
            </w:pPr>
          </w:p>
        </w:tc>
        <w:tc>
          <w:tcPr>
            <w:tcW w:w="580" w:type="dxa"/>
            <w:vAlign w:val="bottom"/>
            <w:tcBorders>
              <w:top w:val="single" w:sz="8" w:color="0000FF"/>
            </w:tcBorders>
            <w:gridSpan w:val="2"/>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540" w:type="dxa"/>
            <w:vAlign w:val="bottom"/>
            <w:tcBorders>
              <w:top w:val="single" w:sz="8" w:color="0000FF"/>
            </w:tcBorders>
            <w:gridSpan w:val="2"/>
            <w:shd w:val="clear" w:color="auto" w:fill="0000FF"/>
          </w:tcPr>
          <w:p>
            <w:pPr>
              <w:spacing w:after="0" w:line="20" w:lineRule="exact"/>
              <w:rPr>
                <w:sz w:val="1"/>
                <w:szCs w:val="1"/>
                <w:color w:val="auto"/>
              </w:rPr>
            </w:pPr>
          </w:p>
        </w:tc>
        <w:tc>
          <w:tcPr>
            <w:tcW w:w="2880" w:type="dxa"/>
            <w:vAlign w:val="bottom"/>
            <w:tcBorders>
              <w:top w:val="single" w:sz="8" w:color="0000FF"/>
              <w:left w:val="single" w:sz="8" w:color="0000FF"/>
            </w:tcBorders>
            <w:gridSpan w:val="12"/>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tcBorders>
              <w:top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60" w:type="dxa"/>
            <w:vAlign w:val="bottom"/>
            <w:gridSpan w:val="4"/>
            <w:vMerge w:val="continue"/>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2880" w:type="dxa"/>
            <w:vAlign w:val="bottom"/>
            <w:gridSpan w:val="12"/>
          </w:tcPr>
          <w:p>
            <w:pPr>
              <w:spacing w:after="0"/>
              <w:rPr>
                <w:sz w:val="24"/>
                <w:szCs w:val="24"/>
                <w:color w:val="auto"/>
              </w:rPr>
            </w:pPr>
          </w:p>
        </w:tc>
        <w:tc>
          <w:tcPr>
            <w:tcW w:w="2000" w:type="dxa"/>
            <w:vAlign w:val="bottom"/>
            <w:gridSpan w:val="7"/>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80" w:type="dxa"/>
            <w:vAlign w:val="bottom"/>
            <w:gridSpan w:val="19"/>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6.</w:t>
            </w:r>
          </w:p>
        </w:tc>
        <w:tc>
          <w:tcPr>
            <w:tcW w:w="860" w:type="dxa"/>
            <w:vAlign w:val="bottom"/>
            <w:gridSpan w:val="4"/>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680" w:type="dxa"/>
            <w:vAlign w:val="bottom"/>
            <w:gridSpan w:val="3"/>
          </w:tcPr>
          <w:p>
            <w:pPr>
              <w:spacing w:after="0"/>
              <w:rPr>
                <w:sz w:val="24"/>
                <w:szCs w:val="24"/>
                <w:color w:val="auto"/>
              </w:rPr>
            </w:pPr>
          </w:p>
        </w:tc>
        <w:tc>
          <w:tcPr>
            <w:tcW w:w="4880" w:type="dxa"/>
            <w:vAlign w:val="bottom"/>
            <w:gridSpan w:val="19"/>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20" w:type="dxa"/>
            <w:vAlign w:val="bottom"/>
            <w:gridSpan w:val="21"/>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14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Our forward-looking statements in this report include, among others, statements relating to our anticipated operating results, liquidity requirements, and financial condition and current trends and uncertainties; the anticipated impacts of field inventory levels and backlog, inflation, ongoing challenges related to tariffs and strategies to mitigate the effect thereof, governmental budget cuts, current wars and international sanctions, and geopolitical tensions, tight labor markets and other macroeconomic factors; our business strategies, priorities, goals, and commitments; the effect of recent acquisitions;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8" w:lineRule="exact"/>
        <w:rPr>
          <w:sz w:val="20"/>
          <w:szCs w:val="20"/>
          <w:color w:val="auto"/>
        </w:rPr>
      </w:pPr>
    </w:p>
    <w:p>
      <w:pPr>
        <w:jc w:val="both"/>
        <w:ind w:left="660" w:hanging="328"/>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lead to impairment and other charges and otherwise adversely affect our operating results and financial condition;</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legal and regulatory uncertainty or conflicts, including actions taken or which may be taken, such as reductions in governmental spending; monetary policy; political, geopolitical, trade, or other issues in the United States or internationally, including increased tariffs or trade wars;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businesses and its impact on demand for our products and our working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that weather conditions or climate change have on demand for our products and operations, including our supply chain;</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and/or shortages in the availability and cost of commodities, components, parts, or accessories used in our products, including as a result of tariffs, the conflict in the Middle East, and the effect of our supply chain strategies to mitigate the effect of tariffs;</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distribution channel customers to maintain appropriate inventory levels, including as a result of changes in purchasing patterns by customers,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recent acquisition of Tornado Infrastructure Equipment Ltd. or other acquisitions and alliances, strong customer relations, and new joint ventures, investments, or partnerships and our failure to successfully complete divestitures or other restructuring activities, including without limitation our ability to integrate acquired businesses,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new, expanded or emerging markets, such as the broadband, fiber, digital and data center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 or geographic mix;</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competition;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expand and renovate existing facilities, open and manage new or acquired facilities, move production from or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composition of, financial viability of, and the relationships with, our distribution channel customers;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credit arrangements and ratings and any material change in the availability or terms of, or termination or disruption of, credit offered to our customers, distributors, and dealers;</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and other current and potential conflicts;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all applicable legal, regulatory, health and safety law and regulations and the effect of product quality issues, product liability claims, and other legal or administrative proceedings to which we are or may be subject;</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intellectual property and other proprietary rights or operate our business without infringing upon the intellectual property or other proprietary rights of others;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information systems or information security practices or those of our business partners or third-party service providers to adequately perform and/or protect sensitive or confidential information;</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financial projections or other business initiatives, including our Amplifying Maximum Productivity (“AMP”) initiative, in the time periods or in the magnitude that we anticipate or at all;</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tax standards and policies and/or assumptions utilized in determining accounting tax estimates, including the effects of the One Big Beautiful Bill Act; and</w:t>
      </w: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Securities and Exchange Commission ("SEC").</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5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1,424.7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1,317.9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2,461.0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2,312.9</w:t>
            </w:r>
          </w:p>
        </w:tc>
      </w:tr>
      <w:tr>
        <w:trPr>
          <w:trHeight w:val="22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942.0</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881.2</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1,641.8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1,540.6</w:t>
            </w:r>
          </w:p>
        </w:tc>
      </w:tr>
      <w:tr>
        <w:trPr>
          <w:trHeight w:val="227"/>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482.7</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436.7</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819.2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772.3</w:t>
            </w:r>
          </w:p>
        </w:tc>
      </w:tr>
      <w:tr>
        <w:trPr>
          <w:trHeight w:val="226"/>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287.7</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261.9</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537.1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519.7</w:t>
            </w:r>
          </w:p>
        </w:tc>
      </w:tr>
      <w:tr>
        <w:trPr>
          <w:trHeight w:val="227"/>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195.0</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174.8</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282.1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17.2</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36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183.4</w:t>
            </w: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168.7</w:t>
            </w: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270.3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234.8</w:t>
            </w: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38.0</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31.9</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57.0</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223"/>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136.8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213.3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189.6</w:t>
            </w:r>
          </w:p>
        </w:tc>
      </w:tr>
      <w:tr>
        <w:trPr>
          <w:trHeight w:val="24"/>
        </w:trPr>
        <w:tc>
          <w:tcPr>
            <w:tcW w:w="5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61"/>
        </w:trPr>
        <w:tc>
          <w:tcPr>
            <w:tcW w:w="5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2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78"/>
        </w:trPr>
        <w:tc>
          <w:tcPr>
            <w:tcW w:w="5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2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78"/>
        </w:trPr>
        <w:tc>
          <w:tcPr>
            <w:tcW w:w="5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99.8</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w:t>
            </w:r>
          </w:p>
        </w:tc>
      </w:tr>
      <w:tr>
        <w:trPr>
          <w:trHeight w:val="94"/>
        </w:trPr>
        <w:tc>
          <w:tcPr>
            <w:tcW w:w="5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26"/>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97.1</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100.1</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97.7</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w:t>
            </w: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35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w:t>
            </w:r>
          </w:p>
        </w:tc>
      </w:tr>
      <w:tr>
        <w:trPr>
          <w:trHeight w:val="226"/>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14.8</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16.4</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6"/>
        </w:trPr>
        <w:tc>
          <w:tcPr>
            <w:tcW w:w="3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Derivative instruments, net of tax of $1.6; $(4.1)</w:t>
            </w: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 $(1.6), respectively</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229.3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193.6</w:t>
            </w:r>
          </w:p>
        </w:tc>
      </w:tr>
      <w:tr>
        <w:trPr>
          <w:trHeight w:val="24"/>
        </w:trPr>
        <w:tc>
          <w:tcPr>
            <w:tcW w:w="35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2900" w:type="dxa"/>
            <w:vAlign w:val="bottom"/>
            <w:tcBorders>
              <w:top w:val="single" w:sz="8" w:color="auto"/>
              <w:bottom w:val="single" w:sz="8" w:color="auto"/>
            </w:tcBorders>
          </w:tcPr>
          <w:p>
            <w:pPr>
              <w:spacing w:after="0"/>
              <w:rPr>
                <w:sz w:val="20"/>
                <w:szCs w:val="20"/>
                <w:color w:val="auto"/>
              </w:rPr>
            </w:pPr>
          </w:p>
        </w:tc>
        <w:tc>
          <w:tcPr>
            <w:tcW w:w="25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06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ASSETS</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290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180.4</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176.5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575.1</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602.5</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923.4</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1,119.8</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81.3</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80.1</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1,760.2</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1,978.9</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1,705.1</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623.0</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635.8</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591.0</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450.8</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433.8</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487.3</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115.7</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110.9</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45.0</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51.2</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120.7</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58.6</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17.2</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3,706.6</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3,788.1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portion of long-term debt and short-term borrowings</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551.8</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516.0</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559.2</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536.7</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525.5</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20.2</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18.5</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1,131.2</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1,091.2</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912.4</w:t>
            </w:r>
          </w:p>
        </w:tc>
        <w:tc>
          <w:tcPr>
            <w:tcW w:w="0" w:type="dxa"/>
            <w:vAlign w:val="bottom"/>
          </w:tcPr>
          <w:p>
            <w:pPr>
              <w:spacing w:after="0"/>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1,016.8</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1,077.1</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96.2</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19.9</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70.6</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46.4</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7"/>
                <w:szCs w:val="17"/>
                <w:color w:val="auto"/>
              </w:rPr>
              <w:t>Preferred stock, par value $0.01 per share, authorized 1,000,000 voting and 850,000</w:t>
            </w:r>
          </w:p>
        </w:tc>
        <w:tc>
          <w:tcPr>
            <w:tcW w:w="300" w:type="dxa"/>
            <w:vAlign w:val="bottom"/>
          </w:tcPr>
          <w:p>
            <w:pPr>
              <w:spacing w:after="0"/>
              <w:rPr>
                <w:sz w:val="14"/>
                <w:szCs w:val="14"/>
                <w:color w:val="auto"/>
              </w:rPr>
            </w:pPr>
          </w:p>
        </w:tc>
        <w:tc>
          <w:tcPr>
            <w:tcW w:w="14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4"/>
                <w:szCs w:val="14"/>
                <w:color w:val="auto"/>
              </w:rPr>
            </w:pPr>
          </w:p>
        </w:tc>
        <w:tc>
          <w:tcPr>
            <w:tcW w:w="14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3"/>
          </w:tcPr>
          <w:p>
            <w:pPr>
              <w:ind w:left="120"/>
              <w:spacing w:after="0" w:line="229" w:lineRule="exact"/>
              <w:rPr>
                <w:sz w:val="20"/>
                <w:szCs w:val="20"/>
                <w:color w:val="auto"/>
              </w:rPr>
            </w:pPr>
            <w:r>
              <w:rPr>
                <w:rFonts w:ascii="Times New Roman" w:cs="Times New Roman" w:eastAsia="Times New Roman" w:hAnsi="Times New Roman"/>
                <w:sz w:val="17"/>
                <w:szCs w:val="17"/>
                <w:color w:val="auto"/>
              </w:rPr>
              <w:t>non-voting shares, none issued and outstanding</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060" w:type="dxa"/>
            <w:vAlign w:val="bottom"/>
            <w:gridSpan w:val="3"/>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Common stock, par value $0.01 per share, authorized 175,000,000 shares; issued and</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6060" w:type="dxa"/>
            <w:vAlign w:val="bottom"/>
            <w:gridSpan w:val="3"/>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outstanding 95,383,623 shares as of May 1, 2026, 99,013,499 shares as of May 2,</w:t>
            </w:r>
          </w:p>
        </w:tc>
        <w:tc>
          <w:tcPr>
            <w:tcW w:w="3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99.0</w:t>
            </w: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ind w:left="120"/>
              <w:spacing w:after="0" w:line="238" w:lineRule="exact"/>
              <w:rPr>
                <w:sz w:val="20"/>
                <w:szCs w:val="20"/>
                <w:color w:val="auto"/>
              </w:rPr>
            </w:pPr>
            <w:r>
              <w:rPr>
                <w:rFonts w:ascii="Times New Roman" w:cs="Times New Roman" w:eastAsia="Times New Roman" w:hAnsi="Times New Roman"/>
                <w:sz w:val="17"/>
                <w:szCs w:val="17"/>
                <w:color w:val="auto"/>
              </w:rPr>
              <w:t>2025, and 97,888,105 shares as of October 31, 2025</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30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1,386.2</w:t>
            </w:r>
          </w:p>
        </w:tc>
        <w:tc>
          <w:tcPr>
            <w:tcW w:w="30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1,419.6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1,390.5</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606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1,368.1</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1,476.6</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1,453.3</w:t>
            </w:r>
          </w:p>
        </w:tc>
        <w:tc>
          <w:tcPr>
            <w:tcW w:w="0" w:type="dxa"/>
            <w:vAlign w:val="bottom"/>
          </w:tcPr>
          <w:p>
            <w:pPr>
              <w:spacing w:after="0"/>
              <w:rPr>
                <w:sz w:val="1"/>
                <w:szCs w:val="1"/>
                <w:color w:val="auto"/>
              </w:rPr>
            </w:pPr>
          </w:p>
        </w:tc>
      </w:tr>
      <w:tr>
        <w:trPr>
          <w:trHeight w:val="248"/>
        </w:trPr>
        <w:tc>
          <w:tcPr>
            <w:tcW w:w="20" w:type="dxa"/>
            <w:vAlign w:val="bottom"/>
            <w:tcBorders>
              <w:bottom w:val="single" w:sz="8" w:color="auto"/>
            </w:tcBorders>
            <w:shd w:val="clear" w:color="auto" w:fill="CCEEFF"/>
          </w:tcPr>
          <w:p>
            <w:pPr>
              <w:spacing w:after="0"/>
              <w:rPr>
                <w:sz w:val="21"/>
                <w:szCs w:val="21"/>
                <w:color w:val="auto"/>
              </w:rPr>
            </w:pPr>
          </w:p>
        </w:tc>
        <w:tc>
          <w:tcPr>
            <w:tcW w:w="60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3,706.6</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3,788.1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firstLine="8"/>
        <w:spacing w:after="0" w:line="251" w:lineRule="auto"/>
        <w:tabs>
          <w:tab w:leader="none" w:pos="74"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company’s second quarter ended May 1, 2026 the company amended its certificate of incorporation to change the par value of its preferred and common stock from $1.00 per share to $0.01 per share. This change has been adopted prospectively.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118"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213.3</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(used in) operating activities: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0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3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from finance affiliate, net</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0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48.9</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3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21.1</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33"/>
        </w:trPr>
        <w:tc>
          <w:tcPr>
            <w:tcW w:w="708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Deferred income taxes</w:t>
            </w:r>
            <w:r>
              <w:rPr>
                <w:rFonts w:ascii="Times New Roman" w:cs="Times New Roman" w:eastAsia="Times New Roman" w:hAnsi="Times New Roman"/>
                <w:sz w:val="22"/>
                <w:szCs w:val="22"/>
                <w:color w:val="auto"/>
                <w:vertAlign w:val="superscript"/>
              </w:rPr>
              <w:t>1</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3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0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w:t>
            </w:r>
          </w:p>
        </w:tc>
      </w:tr>
      <w:tr>
        <w:trPr>
          <w:trHeight w:val="23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37.7</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0"/>
        </w:trPr>
        <w:tc>
          <w:tcPr>
            <w:tcW w:w="708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Other assets</w:t>
            </w:r>
            <w:r>
              <w:rPr>
                <w:rFonts w:ascii="Times New Roman" w:cs="Times New Roman" w:eastAsia="Times New Roman" w:hAnsi="Times New Roman"/>
                <w:sz w:val="22"/>
                <w:szCs w:val="22"/>
                <w:color w:val="auto"/>
                <w:vertAlign w:val="superscript"/>
              </w:rPr>
              <w:t>1</w:t>
            </w:r>
          </w:p>
        </w:tc>
        <w:tc>
          <w:tcPr>
            <w:tcW w:w="10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r>
      <w:tr>
        <w:trPr>
          <w:trHeight w:val="229"/>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166.3</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r>
      <w:tr>
        <w:trPr>
          <w:trHeight w:val="229"/>
        </w:trPr>
        <w:tc>
          <w:tcPr>
            <w:tcW w:w="708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7"/>
                <w:szCs w:val="17"/>
                <w:color w:val="auto"/>
              </w:rPr>
              <w:t>Other liabilities</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19"/>
        </w:trPr>
        <w:tc>
          <w:tcPr>
            <w:tcW w:w="7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293.5</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w:t>
            </w:r>
          </w:p>
        </w:tc>
      </w:tr>
      <w:tr>
        <w:trPr>
          <w:trHeight w:val="78"/>
        </w:trPr>
        <w:tc>
          <w:tcPr>
            <w:tcW w:w="7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0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3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of property, plant, and equipment</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11.6</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6"/>
        </w:trPr>
        <w:tc>
          <w:tcPr>
            <w:tcW w:w="7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Acquisitions, net of cash received</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3"/>
        </w:trPr>
        <w:tc>
          <w:tcPr>
            <w:tcW w:w="7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78"/>
        </w:trPr>
        <w:tc>
          <w:tcPr>
            <w:tcW w:w="70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10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350.0</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740.0</w:t>
            </w:r>
          </w:p>
        </w:tc>
      </w:tr>
      <w:tr>
        <w:trPr>
          <w:trHeight w:val="23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w:t>
            </w: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02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6"/>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10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3"/>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w:t>
            </w:r>
          </w:p>
        </w:tc>
      </w:tr>
      <w:tr>
        <w:trPr>
          <w:trHeight w:val="226"/>
        </w:trPr>
        <w:tc>
          <w:tcPr>
            <w:tcW w:w="7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7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78"/>
        </w:trPr>
        <w:tc>
          <w:tcPr>
            <w:tcW w:w="7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26"/>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78"/>
        </w:trPr>
        <w:tc>
          <w:tcPr>
            <w:tcW w:w="7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tcPr>
          <w:p>
            <w:pPr>
              <w:spacing w:after="0"/>
              <w:rPr>
                <w:sz w:val="6"/>
                <w:szCs w:val="6"/>
                <w:color w:val="auto"/>
              </w:rPr>
            </w:pPr>
          </w:p>
        </w:tc>
      </w:tr>
      <w:tr>
        <w:trPr>
          <w:trHeight w:val="226"/>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23"/>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341.0</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w:t>
            </w:r>
          </w:p>
        </w:tc>
      </w:tr>
      <w:tr>
        <w:trPr>
          <w:trHeight w:val="248"/>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180.4</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w:t>
            </w:r>
          </w:p>
        </w:tc>
      </w:tr>
      <w:tr>
        <w:trPr>
          <w:trHeight w:val="20"/>
        </w:trPr>
        <w:tc>
          <w:tcPr>
            <w:tcW w:w="70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900" w:firstLine="8"/>
        <w:spacing w:after="0" w:line="350" w:lineRule="auto"/>
        <w:tabs>
          <w:tab w:leader="none" w:pos="88"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prior year deferred income taxes has been conformed to the current year presentation. There was no change to net cash provided by operating activities. See accompanying Notes to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620" w:type="dxa"/>
            <w:vAlign w:val="bottom"/>
            <w:tcBorders>
              <w:top w:val="single" w:sz="8" w:color="auto"/>
            </w:tcBorders>
            <w:gridSpan w:val="2"/>
          </w:tcPr>
          <w:p>
            <w:pPr>
              <w:ind w:left="80"/>
              <w:spacing w:after="0" w:line="176" w:lineRule="exact"/>
              <w:rPr>
                <w:sz w:val="20"/>
                <w:szCs w:val="20"/>
                <w:color w:val="auto"/>
              </w:rPr>
            </w:pPr>
            <w:r>
              <w:rPr>
                <w:rFonts w:ascii="Times New Roman" w:cs="Times New Roman" w:eastAsia="Times New Roman" w:hAnsi="Times New Roman"/>
                <w:sz w:val="17"/>
                <w:szCs w:val="17"/>
                <w:b w:val="1"/>
                <w:bCs w:val="1"/>
                <w:color w:val="auto"/>
              </w:rPr>
              <w:t>Accumulated Other</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55"/>
              <w:spacing w:after="0" w:line="176"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55"/>
              <w:spacing w:after="0" w:line="17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80" w:type="dxa"/>
            <w:vAlign w:val="bottom"/>
          </w:tcPr>
          <w:p>
            <w:pPr>
              <w:spacing w:after="0"/>
              <w:rPr>
                <w:sz w:val="15"/>
                <w:szCs w:val="15"/>
                <w:color w:val="auto"/>
              </w:rPr>
            </w:pPr>
          </w:p>
        </w:tc>
        <w:tc>
          <w:tcPr>
            <w:tcW w:w="1200" w:type="dxa"/>
            <w:vAlign w:val="bottom"/>
          </w:tcPr>
          <w:p>
            <w:pPr>
              <w:jc w:val="center"/>
              <w:ind w:right="35"/>
              <w:spacing w:after="0" w:line="176"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5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Stock</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Loss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1"/>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30, 2026</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96.9</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1,339.6</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1,419.2</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line="226" w:lineRule="exact"/>
              <w:rPr>
                <w:sz w:val="20"/>
                <w:szCs w:val="20"/>
                <w:color w:val="auto"/>
              </w:rPr>
            </w:pPr>
            <w:r>
              <w:rPr>
                <w:rFonts w:ascii="Times New Roman" w:cs="Times New Roman" w:eastAsia="Times New Roman" w:hAnsi="Times New Roman"/>
                <w:sz w:val="17"/>
                <w:szCs w:val="17"/>
                <w:color w:val="auto"/>
              </w:rPr>
              <w:t>Change in common stock par value</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95.9</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$0.39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162"/>
        </w:trPr>
        <w:tc>
          <w:tcPr>
            <w:tcW w:w="54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449,929 shares of common stock under stock-based compensation</w:t>
            </w:r>
          </w:p>
        </w:tc>
        <w:tc>
          <w:tcPr>
            <w:tcW w:w="26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4"/>
                <w:szCs w:val="14"/>
                <w:color w:val="auto"/>
              </w:rPr>
            </w:pPr>
          </w:p>
        </w:tc>
        <w:tc>
          <w:tcPr>
            <w:tcW w:w="11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28.3</w:t>
            </w:r>
          </w:p>
        </w:tc>
        <w:tc>
          <w:tcPr>
            <w:tcW w:w="200" w:type="dxa"/>
            <w:vAlign w:val="bottom"/>
          </w:tcPr>
          <w:p>
            <w:pPr>
              <w:spacing w:after="0"/>
              <w:rPr>
                <w:sz w:val="14"/>
                <w:szCs w:val="14"/>
                <w:color w:val="auto"/>
              </w:rPr>
            </w:pPr>
          </w:p>
        </w:tc>
        <w:tc>
          <w:tcPr>
            <w:tcW w:w="14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plans</w:t>
            </w: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1,998,123 shares of common stock</w:t>
            </w:r>
          </w:p>
        </w:tc>
        <w:tc>
          <w:tcPr>
            <w:tcW w:w="2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6"/>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145.4</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1, 2026</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1,386.2</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5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2025</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97.9</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1,390.5</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1,453.3</w:t>
            </w: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line="226" w:lineRule="exact"/>
              <w:rPr>
                <w:sz w:val="20"/>
                <w:szCs w:val="20"/>
                <w:color w:val="auto"/>
              </w:rPr>
            </w:pPr>
            <w:r>
              <w:rPr>
                <w:rFonts w:ascii="Times New Roman" w:cs="Times New Roman" w:eastAsia="Times New Roman" w:hAnsi="Times New Roman"/>
                <w:sz w:val="17"/>
                <w:szCs w:val="17"/>
                <w:color w:val="auto"/>
              </w:rPr>
              <w:t>Change in common stock par value</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95.9</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$0.78 per share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162"/>
        </w:trPr>
        <w:tc>
          <w:tcPr>
            <w:tcW w:w="54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638,123 shares of common stock under stock-based compensation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plans, less contribution of 3,302 shares of common stock to a deferred</w:t>
            </w:r>
          </w:p>
        </w:tc>
        <w:tc>
          <w:tcPr>
            <w:tcW w:w="26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Pr>
          <w:p>
            <w:pPr>
              <w:spacing w:after="0"/>
              <w:rPr>
                <w:sz w:val="14"/>
                <w:szCs w:val="14"/>
                <w:color w:val="auto"/>
              </w:rPr>
            </w:pPr>
          </w:p>
        </w:tc>
        <w:tc>
          <w:tcPr>
            <w:tcW w:w="11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37.3</w:t>
            </w:r>
          </w:p>
        </w:tc>
        <w:tc>
          <w:tcPr>
            <w:tcW w:w="200" w:type="dxa"/>
            <w:vAlign w:val="bottom"/>
          </w:tcPr>
          <w:p>
            <w:pPr>
              <w:spacing w:after="0"/>
              <w:rPr>
                <w:sz w:val="14"/>
                <w:szCs w:val="14"/>
                <w:color w:val="auto"/>
              </w:rPr>
            </w:pPr>
          </w:p>
        </w:tc>
        <w:tc>
          <w:tcPr>
            <w:tcW w:w="14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trust</w:t>
            </w:r>
          </w:p>
        </w:tc>
        <w:tc>
          <w:tcPr>
            <w:tcW w:w="2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12.5</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3,139,654 shares of common stock</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16.0</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26"/>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213.3</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1, 2026</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1,386.2</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5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31, 2025</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100.3</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1,414.5</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$0.38 per share</w:t>
            </w:r>
          </w:p>
        </w:tc>
        <w:tc>
          <w:tcPr>
            <w:tcW w:w="2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166"/>
        </w:trPr>
        <w:tc>
          <w:tcPr>
            <w:tcW w:w="54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Issuance of 27,424 shares of common stock under stock-based compensation</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plans</w:t>
            </w: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1,313,640 shares of common stock</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136.8</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May 2, 2025</w:t>
            </w:r>
          </w:p>
        </w:tc>
        <w:tc>
          <w:tcPr>
            <w:tcW w:w="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99.0</w:t>
            </w:r>
          </w:p>
        </w:tc>
        <w:tc>
          <w:tcPr>
            <w:tcW w:w="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1,419.6</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1,476.6</w:t>
            </w:r>
          </w:p>
        </w:tc>
        <w:tc>
          <w:tcPr>
            <w:tcW w:w="0" w:type="dxa"/>
            <w:vAlign w:val="bottom"/>
          </w:tcPr>
          <w:p>
            <w:pPr>
              <w:spacing w:after="0"/>
              <w:rPr>
                <w:sz w:val="1"/>
                <w:szCs w:val="1"/>
                <w:color w:val="auto"/>
              </w:rPr>
            </w:pPr>
          </w:p>
        </w:tc>
      </w:tr>
      <w:tr>
        <w:trPr>
          <w:trHeight w:val="24"/>
        </w:trPr>
        <w:tc>
          <w:tcPr>
            <w:tcW w:w="5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4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2024</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101.5</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1,496.4</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1,551.9</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$0.76 per share</w:t>
            </w:r>
          </w:p>
        </w:tc>
        <w:tc>
          <w:tcPr>
            <w:tcW w:w="2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0" w:type="dxa"/>
            <w:vAlign w:val="bottom"/>
          </w:tcPr>
          <w:p>
            <w:pPr>
              <w:spacing w:after="0"/>
              <w:rPr>
                <w:sz w:val="1"/>
                <w:szCs w:val="1"/>
                <w:color w:val="auto"/>
              </w:rPr>
            </w:pPr>
          </w:p>
        </w:tc>
      </w:tr>
      <w:tr>
        <w:trPr>
          <w:trHeight w:val="166"/>
        </w:trPr>
        <w:tc>
          <w:tcPr>
            <w:tcW w:w="54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Issuance of 123,753 shares of common stock under stock-based compensation</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plans, less contribution of 8,673 shares to a deferred compensation trust</w:t>
            </w: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9.8</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2,573,705 shares of common stock</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0" w:type="dxa"/>
            <w:vAlign w:val="bottom"/>
          </w:tcPr>
          <w:p>
            <w:pPr>
              <w:spacing w:after="0"/>
              <w:rPr>
                <w:sz w:val="1"/>
                <w:szCs w:val="1"/>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6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189.6</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May 2, 2025</w:t>
            </w:r>
          </w:p>
        </w:tc>
        <w:tc>
          <w:tcPr>
            <w:tcW w:w="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99.0</w:t>
            </w:r>
          </w:p>
        </w:tc>
        <w:tc>
          <w:tcPr>
            <w:tcW w:w="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1,419.6</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1,476.6</w:t>
            </w:r>
          </w:p>
        </w:tc>
        <w:tc>
          <w:tcPr>
            <w:tcW w:w="0" w:type="dxa"/>
            <w:vAlign w:val="bottom"/>
          </w:tcPr>
          <w:p>
            <w:pPr>
              <w:spacing w:after="0"/>
              <w:rPr>
                <w:sz w:val="1"/>
                <w:szCs w:val="1"/>
                <w:color w:val="auto"/>
              </w:rPr>
            </w:pPr>
          </w:p>
        </w:tc>
      </w:tr>
      <w:tr>
        <w:trPr>
          <w:trHeight w:val="24"/>
        </w:trPr>
        <w:tc>
          <w:tcPr>
            <w:tcW w:w="5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firstLine="8"/>
        <w:spacing w:after="0" w:line="251" w:lineRule="auto"/>
        <w:tabs>
          <w:tab w:leader="none" w:pos="74"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company’s second quarter ended May 1, 2026 the company amended its certificate of incorporation to change the par value of its common stock from $1.00 per share to $0.01 per share. This change has been adopted prospectively.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Condensed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344" w:lineRule="exact"/>
        <w:rPr>
          <w:sz w:val="20"/>
          <w:szCs w:val="20"/>
          <w:color w:val="auto"/>
        </w:rPr>
      </w:pPr>
    </w:p>
    <w:p>
      <w:pPr>
        <w:ind w:left="640" w:hanging="614"/>
        <w:spacing w:after="0"/>
        <w:tabs>
          <w:tab w:leader="none" w:pos="640" w:val="left"/>
        </w:tabs>
        <w:numPr>
          <w:ilvl w:val="0"/>
          <w:numId w:val="8"/>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Basis of Presentation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six months ended May 1, 2026 cannot be annualized to determine the expected results for the fiscal year ending October 31,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the company's basis of presentation, refer to the Consolidated Financial Statements and Notes to Consolidated Financial Statements included in the company’s Annual Report on Form 10-K for the fiscal year ended October 31, 2025. The policies described in that report are used for preparing the company's quarterly reports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 Value Common Stock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19, 2026, the Company filed a Restated Certificate of Incorporation which decreased the par value of all the Company's capital stock, including our common stock and authorized "blank check" preferred stock from $1.00 to $0.01 per share (the "Par Value Amendment"), which was approved by the Company's stockholders on March 17, 2026. The Par Value Amendment had no impact on the value of the Company’s capital stock, including our common stock. In addition, the Par Value Amendment had no effect on the dollar amount of the Company’s total stockholders’ equity. The Par Value Amendment did not change the number of authorized shares of common stock or our preferred stock nor did it have any impact on our outstanding common stock or any options or rights to purchase our common stock. The Par Value Amendment had no effect on the rights of the holders of our common stock or our authorized preferred stock, none of which are currently outstanding, except for reducing the minimum amount per share the Company must receive upon the issuance of any shares of our capital stock from $1.00 to $0.01.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accounting standard update ("ASU") No. 2025-06, Intangibles—Goodwill and Other—Internal-Use Software (Subtopic 350-40): Targeted Improvements to the Accounting for Internal-Use Software, which is intended to modernize the accounting for software costs that are accounted for under Subtopic 350-40 by replacing the stage-based model with a principles-based approach. The amended guidance will become effective for the company's fiscal 2029 annual period and interim periods beginning with the first quarter of fiscal 2029. Early adoption is permitted. The company is currently evaluating the impact of this new standard on its Condensed Consolidated Financial Statements and related disclosures.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is intended to improve guidance on the measurement of credit losses on accounts receivable and contract assets. The amended guidance is optional and, if the company elects the practical expedient, will become effective for the company's fiscal 2027 annual period and interim periods beginning with the first quarter of fiscal 2027. Early adoption is permitted. The company is currently evaluating the impact of this new standard on its Condensed Consolidated Financial Statements and related disclosures.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Condensed Consolidated Financial Statements and related disclosures.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83" w:lineRule="exact"/>
        <w:rPr>
          <w:sz w:val="20"/>
          <w:szCs w:val="20"/>
          <w:color w:val="auto"/>
        </w:rPr>
      </w:pPr>
    </w:p>
    <w:p>
      <w:pPr>
        <w:ind w:left="680" w:hanging="654"/>
        <w:spacing w:after="0"/>
        <w:tabs>
          <w:tab w:leader="none" w:pos="680" w:val="left"/>
        </w:tabs>
        <w:numPr>
          <w:ilvl w:val="0"/>
          <w:numId w:val="9"/>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Acquisitions and Divestitures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Tornado Infrastructure Equipment Ltd. ("Tornado Infrastructure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8, 2025 ("closing date"), pursuant to an Arrangement Agreement ("Purchase Agreement") dated October 6, 2025, the company completed its acquisition of Tornado Infrastructure Equipment, a publicly held Canadian company and a manufacturer in the hydrovac excavation solutions industry. Tornado Infrastructure Equipment manufactures hydrovac excavation solutions and industrial equipment solutions for the underground construction, power transmission and energy markets and provides innovative product offerings that broaden and strengthen the company's Professional segment and expands its dealer network.</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Tornado Infrastructure Equipment acquisition was structured as an equity purchase, pursuant to which the company acquired 100 percent of the equity interests of the legal entities that comprised Tornado Infrastructure Equipment, with the legal entities continuing as surviving entities and wholly-owned subsidiaries of the company. As part of the acquisition, the company also acquired the real property used by Tornado Infrastructure Equipment. The cash consideration, net of cash acquired, was $210.3 million ("purchase price"). The company funded the purchase price with borrowings under its existing revolving credit facility. As a result of the acquisition, the company incurred approximately $3.5 million and $5.7 million of acquisition-related transaction costs during the three-month and six-month periods ended May 1, 2026, respectively. Acquisition-related transaction costs are recorded within selling, general and administrative expense within the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Fair Value Measurements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accounted for the acquisition in accordance with the accounting standards codification guidance which requires identifiable assets acquired and liabilities assumed to be measured at their estimated fair values as of the closing date. The company believes that the information available as of the closing date provides a reasonable basis for estimating fair values of the assets acquired and liabilities assumed; however, the company is continuing to finalize these amounts. Thus, the preliminary measurements of the fair values of the assets acquired and liabilities assumed within the preliminary purchase price allocation are subject to change as additional information becomes available and as additional analysis is performed. The company expects to finalize its preliminary valuation and complete the allocation of the preliminary purchase price as soon as practicable, but no later than one year from the closing date of the acquisition, as required.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preliminary estimated fair values assigned to the assets acquired and liabilities assumed. These preliminary fair values are based on internal company and independent external third-party valuations and are subject to change as certain asset and liability valuations are finalized: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46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December 8, 2025</w:t>
            </w:r>
          </w:p>
        </w:tc>
      </w:tr>
      <w:tr>
        <w:trPr>
          <w:trHeight w:val="20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Cash and cash equivalents</w:t>
            </w:r>
          </w:p>
        </w:tc>
        <w:tc>
          <w:tcPr>
            <w:tcW w:w="3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Inventories</w:t>
            </w:r>
          </w:p>
        </w:tc>
        <w:tc>
          <w:tcPr>
            <w:tcW w:w="34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Property, plant, and equipment, net</w:t>
            </w:r>
          </w:p>
        </w:tc>
        <w:tc>
          <w:tcPr>
            <w:tcW w:w="34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net</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shd w:val="clear" w:color="auto" w:fill="CCEEFF"/>
              </w:rPr>
              <w:t>Goodwill</w:t>
            </w:r>
          </w:p>
        </w:tc>
        <w:tc>
          <w:tcPr>
            <w:tcW w:w="34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r>
      <w:tr>
        <w:trPr>
          <w:trHeight w:val="213"/>
        </w:trPr>
        <w:tc>
          <w:tcPr>
            <w:tcW w:w="6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shd w:val="clear" w:color="auto" w:fill="CCEEFF"/>
              </w:rPr>
              <w:t>Indefinite-lived trade name</w:t>
            </w:r>
          </w:p>
        </w:tc>
        <w:tc>
          <w:tcPr>
            <w:tcW w:w="34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26"/>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Finite-lived developed technology</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33"/>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Finite-lived customer-related</w:t>
            </w:r>
          </w:p>
        </w:tc>
        <w:tc>
          <w:tcPr>
            <w:tcW w:w="34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26"/>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Finite-lived backlog</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3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4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3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4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26"/>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3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3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34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6"/>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3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fair value of net assets acquired</w:t>
            </w:r>
          </w:p>
        </w:tc>
        <w:tc>
          <w:tcPr>
            <w:tcW w:w="3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w:t>
            </w:r>
          </w:p>
        </w:tc>
      </w:tr>
      <w:tr>
        <w:trPr>
          <w:trHeight w:val="226"/>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cash and cash equivalents acquired</w:t>
            </w:r>
          </w:p>
        </w:tc>
        <w:tc>
          <w:tcPr>
            <w:tcW w:w="3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48"/>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3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goodwill recognized is primarily attributable to the value of the workforce, the reputation of Tornado Infrastructure Equipment, expected future cash flows, and expected synergies, including customer and dealer growth opportunities, integrating and expanding existing product lines, and cost reduction initiatives. Key areas of expected cost reduction synergies include increased purchasing power for commodities, components, parts, and supply chain consolidation. The goodwill resulting from the acquisition of Tornado Infrastructure Equipment was recognized within the company's Professional segment and is the primary driver for the increase in the company's Professional segment goodwill to $581.0 million as of May 1, 2026 from $440.9 million as of October 31, 2025. Goodwill is non-deductible for tax purposes.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 Acquired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mentioned above, the company has yet to complete its analysis and valuation for measuring the fair values of the acquired other intangible assets. The company expects to finalize its preliminary valuation of other intangible assets as soon as practicable, but no later than one year from the closing date of the acquisition, as required. The preliminary allocation of the purchase price to the net assets acquired resulted in the recognition of $63.8 million of other intangible assets as of the closing date. The useful lives of the developed technology, customer-related, and backlog intangible assets were determined based on the period of expected cash flows used to measure the fair value of the respective intangible assets adjusted as appropriate for entity-specific factors including legal, regulatory, contractual, competitive, economic, and/or other factors that may limit the useful life of the respective intangible asset.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the finite-lived intangible assets resulting from the acquisition of Tornado Infrastructure Equipment for the three-month and six-month periods ended May 1, 2026 was $3.8 million and $6.3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Tornado Infrastructure Equipment's results of operations are included within the company's Professional reportable segment in the company's Condensed Consolidated Financial Statements from the closing date. For the three-month and six-month periods ended May 1, 2026, the company recognized $29.7 million and $48.7 million of net sales, respectively, from Tornado Infrastructure Equipment's operations. Tornado Infrastructure Equipment's operations had an immaterial impact on Professional segment earnings for the three month and six-month period ended May 1, 2026. Unaudited pro forma financial information is not disclosed as the Tornado Infrastructure Equipment acquisition was not considered significant to the company's Consolidated Results of Operations.</w:t>
      </w:r>
    </w:p>
    <w:p>
      <w:pPr>
        <w:spacing w:after="0" w:line="109" w:lineRule="exact"/>
        <w:rPr>
          <w:sz w:val="20"/>
          <w:szCs w:val="20"/>
          <w:color w:val="auto"/>
        </w:rPr>
      </w:pPr>
    </w:p>
    <w:p>
      <w:pPr>
        <w:ind w:left="640" w:hanging="614"/>
        <w:spacing w:after="0"/>
        <w:tabs>
          <w:tab w:leader="none" w:pos="640" w:val="left"/>
        </w:tabs>
        <w:numPr>
          <w:ilvl w:val="0"/>
          <w:numId w:val="10"/>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Segment Data</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businesses are organized, managed, and internally grouped into segments based on similarities in products and services. Segment determination is based on the manner in which the Chief Operating Decision Maker "CODM" organizes segments for making operating and investment decisions and assessing performance. The company has identified eight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For a summary of our products by market for our Professional and Residential reportable segments, refer to Part I, Item 1, "Business," of the company’s Annual Report on Form 10-K for the fiscal year ended October 31, 2025.</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remaining activities consist of a wholly-owned domestic distribution company, certain corporate activities, and the elimination of intersegment revenues and expenses. Corporate activities include general corporate expenditures (finance, human resources, legal, information technology, public relations, business development, and similar activities) and other unallocated corporate assets and liabilities, such as corporate facilities, severance and termination benefits, facility exit costs, and deferred tax assets and liabilities. These remaining activities are presented as "Other" due to their insignificance.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CODM is the Chairman of the Board and Chief Executive Officer. The CODM predominantly evaluates the performance of our segments using earnings before interest and taxes (“EBIT”). This metric provides our CODM with a comprehensive view of each segment’s profitability, enabling informed decision-making and effective resource allocation. The CODM regularly reviews EBIT to monitor progress against performance targets, focusing on actual-to-plan variances. These assessments help identify trends, compare segment profitability, and determine whether additional resources or strategic adjustments are necessary to achieve guideline goals. Additionally, the significant expense categories regularly reviewed by the CODM include cost of sales, sales, general and administrative expense, non-cash charges, such as impairment, and other income (expense) items. These other items consist of foreign currency gains and losses, interest income and expense, gains and losses from sales of fixed assets, and income and losses from equity method investments and business divestitures.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accounting policies of the reportable business segments are the same as those described in the summary of significant accounting policies in Note 1, </w:t>
      </w:r>
      <w:r>
        <w:rPr>
          <w:rFonts w:ascii="Times New Roman" w:cs="Times New Roman" w:eastAsia="Times New Roman" w:hAnsi="Times New Roman"/>
          <w:sz w:val="18"/>
          <w:szCs w:val="18"/>
          <w:i w:val="1"/>
          <w:iCs w:val="1"/>
          <w:color w:val="auto"/>
        </w:rPr>
        <w:t xml:space="preserve">Summary of Significant Accounting Policies and Related Data </w:t>
      </w:r>
      <w:r>
        <w:rPr>
          <w:rFonts w:ascii="Times New Roman" w:cs="Times New Roman" w:eastAsia="Times New Roman" w:hAnsi="Times New Roman"/>
          <w:sz w:val="18"/>
          <w:szCs w:val="18"/>
          <w:color w:val="auto"/>
        </w:rPr>
        <w:t>of the company’s Annual Report on Form 10-K for the fiscal year ended October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evaluates the performance of its Professional and Residential reportable business segment results based on EBIT which includes allocated expenses that these operations would have incurred otherwise, but does not include general corporate expenses, interest expense, and income taxes. EBIT for the company's Other activities includes earnings (loss) from a domestic wholly-owned distribution company, certain corporate activities, non-cash impairment charges, other income, and interest expense. The company accounts for intersegment gross sales at current market prices.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business segments and Other activities (dollars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May 1, 2026</w:t>
            </w:r>
          </w:p>
        </w:tc>
        <w:tc>
          <w:tcPr>
            <w:tcW w:w="15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 from external customers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1,084.6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310.4</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29.7</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1,424.7</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22.0</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1,106.6</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310.4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1,424.7</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50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688.3</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243.8</w:t>
            </w:r>
          </w:p>
        </w:tc>
        <w:tc>
          <w:tcPr>
            <w:tcW w:w="3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w:t>
            </w: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5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195.5</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36.3</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55.9</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interest and taxes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30.3</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2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5"/>
        </w:trPr>
        <w:tc>
          <w:tcPr>
            <w:tcW w:w="436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May 1, 2026</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 from external customers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1,894.0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516.4</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50.6</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2,461.0</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36.6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1,930.6</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516.4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2,461.0</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50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1,209.2</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409.2</w:t>
            </w:r>
          </w:p>
        </w:tc>
        <w:tc>
          <w:tcPr>
            <w:tcW w:w="3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1,641.8</w:t>
            </w: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5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361.5</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64.1</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111.5</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537.1</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interest and taxes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43.5</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299.3</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29"/>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r>
      <w:tr>
        <w:trPr>
          <w:trHeight w:val="22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w:t>
            </w:r>
          </w:p>
        </w:tc>
      </w:tr>
      <w:tr>
        <w:trPr>
          <w:trHeight w:val="24"/>
        </w:trPr>
        <w:tc>
          <w:tcPr>
            <w:tcW w:w="4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May 2, 2025</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 from external customers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994.2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297.4</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26.3</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1,317.9</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19.9</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1,014.1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297.4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1,317.9</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50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632.6</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243.6</w:t>
            </w:r>
          </w:p>
        </w:tc>
        <w:tc>
          <w:tcPr>
            <w:tcW w:w="3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881.2</w:t>
            </w: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5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180.2</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37.7</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44.0</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0.8</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interest and taxes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16.1</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2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136.8</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5"/>
        </w:trPr>
        <w:tc>
          <w:tcPr>
            <w:tcW w:w="436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May 2, 2025</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 from external customers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1,748.5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518.4</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46.0</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2,312.9</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34.4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1,782.9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518.4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2,312.9</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50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1,113.6</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414.7</w:t>
            </w:r>
          </w:p>
        </w:tc>
        <w:tc>
          <w:tcPr>
            <w:tcW w:w="34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1,540.6</w:t>
            </w:r>
          </w:p>
        </w:tc>
      </w:tr>
      <w:tr>
        <w:trPr>
          <w:trHeight w:val="23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5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341.4</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70.5</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107.8</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w:t>
            </w:r>
          </w:p>
        </w:tc>
      </w:tr>
      <w:tr>
        <w:trPr>
          <w:trHeight w:val="226"/>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interest and taxes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33.3</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w:t>
            </w:r>
          </w:p>
        </w:tc>
      </w:tr>
      <w:tr>
        <w:trPr>
          <w:trHeight w:val="226"/>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22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189.6</w:t>
            </w:r>
          </w:p>
        </w:tc>
      </w:tr>
      <w:tr>
        <w:trPr>
          <w:trHeight w:val="24"/>
        </w:trPr>
        <w:tc>
          <w:tcPr>
            <w:tcW w:w="4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May 1, 2026</w:t>
            </w:r>
          </w:p>
        </w:tc>
        <w:tc>
          <w:tcPr>
            <w:tcW w:w="18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2,618.3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458.4</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629.9</w:t>
            </w:r>
          </w:p>
        </w:tc>
        <w:tc>
          <w:tcPr>
            <w:tcW w:w="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3,706.6</w:t>
            </w:r>
          </w:p>
        </w:tc>
      </w:tr>
      <w:tr>
        <w:trPr>
          <w:trHeight w:val="22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8.5</w:t>
            </w: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12.4</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4"/>
        </w:trPr>
        <w:tc>
          <w:tcPr>
            <w:tcW w:w="4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40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1"/>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May 2, 2025</w:t>
            </w:r>
          </w:p>
        </w:tc>
        <w:tc>
          <w:tcPr>
            <w:tcW w:w="1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2,733.8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631.5</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422.8</w:t>
            </w:r>
          </w:p>
        </w:tc>
        <w:tc>
          <w:tcPr>
            <w:tcW w:w="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3,788.1</w:t>
            </w:r>
          </w:p>
        </w:tc>
      </w:tr>
      <w:tr>
        <w:trPr>
          <w:trHeight w:val="22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45.9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9.1</w:t>
            </w: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10.2</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w:t>
            </w:r>
          </w:p>
        </w:tc>
      </w:tr>
      <w:tr>
        <w:trPr>
          <w:trHeight w:val="24"/>
        </w:trPr>
        <w:tc>
          <w:tcPr>
            <w:tcW w:w="4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2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2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614"/>
        <w:spacing w:after="0"/>
        <w:tabs>
          <w:tab w:leader="none" w:pos="640" w:val="left"/>
        </w:tabs>
        <w:numPr>
          <w:ilvl w:val="0"/>
          <w:numId w:val="11"/>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Revenue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the company's reportable segment net sales by major product type and geographic market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May 1, 2026</w:t>
            </w:r>
          </w:p>
        </w:tc>
        <w:tc>
          <w:tcPr>
            <w:tcW w:w="17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product type:</w:t>
            </w:r>
          </w:p>
        </w:tc>
        <w:tc>
          <w:tcPr>
            <w:tcW w:w="1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988.7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309.9</w:t>
            </w:r>
          </w:p>
        </w:tc>
        <w:tc>
          <w:tcPr>
            <w:tcW w:w="102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5.5</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1,304.1</w:t>
            </w:r>
          </w:p>
        </w:tc>
      </w:tr>
      <w:tr>
        <w:trPr>
          <w:trHeight w:val="230"/>
        </w:trPr>
        <w:tc>
          <w:tcPr>
            <w:tcW w:w="4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Irrigation</w:t>
            </w:r>
          </w:p>
        </w:tc>
        <w:tc>
          <w:tcPr>
            <w:tcW w:w="1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117.9</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0.5</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w:t>
            </w: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1,106.6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310.4</w:t>
            </w:r>
          </w:p>
        </w:tc>
        <w:tc>
          <w:tcPr>
            <w:tcW w:w="1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7.7</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1,424.7</w:t>
            </w:r>
          </w:p>
        </w:tc>
      </w:tr>
      <w:tr>
        <w:trPr>
          <w:trHeight w:val="24"/>
        </w:trPr>
        <w:tc>
          <w:tcPr>
            <w:tcW w:w="4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1"/>
        </w:trPr>
        <w:tc>
          <w:tcPr>
            <w:tcW w:w="4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geographic market:</w:t>
            </w:r>
          </w:p>
        </w:tc>
        <w:tc>
          <w:tcPr>
            <w:tcW w:w="1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869.5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268.7</w:t>
            </w:r>
          </w:p>
        </w:tc>
        <w:tc>
          <w:tcPr>
            <w:tcW w:w="102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7.7</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1,145.9</w:t>
            </w:r>
          </w:p>
        </w:tc>
      </w:tr>
      <w:tr>
        <w:trPr>
          <w:trHeight w:val="229"/>
        </w:trPr>
        <w:tc>
          <w:tcPr>
            <w:tcW w:w="4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International countries</w:t>
            </w:r>
          </w:p>
        </w:tc>
        <w:tc>
          <w:tcPr>
            <w:tcW w:w="1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237.1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41.7</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w:t>
            </w: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1,106.6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310.4</w:t>
            </w:r>
          </w:p>
        </w:tc>
        <w:tc>
          <w:tcPr>
            <w:tcW w:w="1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7.7</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1,424.7</w:t>
            </w:r>
          </w:p>
        </w:tc>
      </w:tr>
      <w:tr>
        <w:trPr>
          <w:trHeight w:val="24"/>
        </w:trPr>
        <w:tc>
          <w:tcPr>
            <w:tcW w:w="4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May 1, 2026</w:t>
            </w:r>
          </w:p>
        </w:tc>
        <w:tc>
          <w:tcPr>
            <w:tcW w:w="18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product type:</w:t>
            </w:r>
          </w:p>
        </w:tc>
        <w:tc>
          <w:tcPr>
            <w:tcW w:w="1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1,712.5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515.3</w:t>
            </w:r>
          </w:p>
        </w:tc>
        <w:tc>
          <w:tcPr>
            <w:tcW w:w="98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2,238.5</w:t>
            </w:r>
          </w:p>
        </w:tc>
      </w:tr>
      <w:tr>
        <w:trPr>
          <w:trHeight w:val="230"/>
        </w:trPr>
        <w:tc>
          <w:tcPr>
            <w:tcW w:w="4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Irrigation</w:t>
            </w:r>
          </w:p>
        </w:tc>
        <w:tc>
          <w:tcPr>
            <w:tcW w:w="1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w:t>
            </w:r>
          </w:p>
        </w:tc>
      </w:tr>
      <w:tr>
        <w:trPr>
          <w:trHeight w:val="223"/>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1,930.6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516.4</w:t>
            </w:r>
          </w:p>
        </w:tc>
        <w:tc>
          <w:tcPr>
            <w:tcW w:w="9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14.0</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2,461.0</w:t>
            </w: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1"/>
        </w:trPr>
        <w:tc>
          <w:tcPr>
            <w:tcW w:w="40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market:</w:t>
            </w:r>
          </w:p>
        </w:tc>
        <w:tc>
          <w:tcPr>
            <w:tcW w:w="1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1,533.9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446.8</w:t>
            </w:r>
          </w:p>
        </w:tc>
        <w:tc>
          <w:tcPr>
            <w:tcW w:w="98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14.0</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1,994.7</w:t>
            </w:r>
          </w:p>
        </w:tc>
      </w:tr>
      <w:tr>
        <w:trPr>
          <w:trHeight w:val="229"/>
        </w:trPr>
        <w:tc>
          <w:tcPr>
            <w:tcW w:w="40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countries</w:t>
            </w:r>
          </w:p>
        </w:tc>
        <w:tc>
          <w:tcPr>
            <w:tcW w:w="1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396.7</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69.6</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w:t>
            </w:r>
          </w:p>
        </w:tc>
      </w:tr>
      <w:tr>
        <w:trPr>
          <w:trHeight w:val="223"/>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1,930.6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516.4</w:t>
            </w:r>
          </w:p>
        </w:tc>
        <w:tc>
          <w:tcPr>
            <w:tcW w:w="9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14.0</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2,461.0</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May 2, 2025</w:t>
            </w:r>
          </w:p>
        </w:tc>
        <w:tc>
          <w:tcPr>
            <w:tcW w:w="17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product type:</w:t>
            </w:r>
          </w:p>
        </w:tc>
        <w:tc>
          <w:tcPr>
            <w:tcW w:w="1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892.3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296.9</w:t>
            </w:r>
          </w:p>
        </w:tc>
        <w:tc>
          <w:tcPr>
            <w:tcW w:w="102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1,194.1</w:t>
            </w:r>
          </w:p>
        </w:tc>
      </w:tr>
      <w:tr>
        <w:trPr>
          <w:trHeight w:val="230"/>
        </w:trPr>
        <w:tc>
          <w:tcPr>
            <w:tcW w:w="4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Irrigation</w:t>
            </w:r>
          </w:p>
        </w:tc>
        <w:tc>
          <w:tcPr>
            <w:tcW w:w="1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121.8</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0.5</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w:t>
            </w: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1,014.1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297.4</w:t>
            </w:r>
          </w:p>
        </w:tc>
        <w:tc>
          <w:tcPr>
            <w:tcW w:w="1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1,317.9</w:t>
            </w:r>
          </w:p>
        </w:tc>
      </w:tr>
      <w:tr>
        <w:trPr>
          <w:trHeight w:val="24"/>
        </w:trPr>
        <w:tc>
          <w:tcPr>
            <w:tcW w:w="4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1"/>
        </w:trPr>
        <w:tc>
          <w:tcPr>
            <w:tcW w:w="4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geographic market:</w:t>
            </w:r>
          </w:p>
        </w:tc>
        <w:tc>
          <w:tcPr>
            <w:tcW w:w="17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795.6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260.3</w:t>
            </w:r>
          </w:p>
        </w:tc>
        <w:tc>
          <w:tcPr>
            <w:tcW w:w="102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1,062.3</w:t>
            </w:r>
          </w:p>
        </w:tc>
      </w:tr>
      <w:tr>
        <w:trPr>
          <w:trHeight w:val="230"/>
        </w:trPr>
        <w:tc>
          <w:tcPr>
            <w:tcW w:w="4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International countries</w:t>
            </w:r>
          </w:p>
        </w:tc>
        <w:tc>
          <w:tcPr>
            <w:tcW w:w="1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218.5</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37.1</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1,014.1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297.4</w:t>
            </w:r>
          </w:p>
        </w:tc>
        <w:tc>
          <w:tcPr>
            <w:tcW w:w="10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1,317.9</w:t>
            </w:r>
          </w:p>
        </w:tc>
      </w:tr>
      <w:tr>
        <w:trPr>
          <w:trHeight w:val="24"/>
        </w:trPr>
        <w:tc>
          <w:tcPr>
            <w:tcW w:w="4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May 2, 2025</w:t>
            </w:r>
          </w:p>
        </w:tc>
        <w:tc>
          <w:tcPr>
            <w:tcW w:w="18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product type:</w:t>
            </w:r>
          </w:p>
        </w:tc>
        <w:tc>
          <w:tcPr>
            <w:tcW w:w="18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4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Equipment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1,554.2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517.0</w:t>
            </w:r>
          </w:p>
        </w:tc>
        <w:tc>
          <w:tcPr>
            <w:tcW w:w="98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2,080.3</w:t>
            </w: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Irrigation</w:t>
            </w:r>
          </w:p>
        </w:tc>
        <w:tc>
          <w:tcPr>
            <w:tcW w:w="1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228.7</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w:t>
            </w: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1,782.9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518.4</w:t>
            </w:r>
          </w:p>
        </w:tc>
        <w:tc>
          <w:tcPr>
            <w:tcW w:w="9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11.6</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2,312.9</w:t>
            </w:r>
          </w:p>
        </w:tc>
      </w:tr>
      <w:tr>
        <w:trPr>
          <w:trHeight w:val="24"/>
        </w:trPr>
        <w:tc>
          <w:tcPr>
            <w:tcW w:w="4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1"/>
        </w:trPr>
        <w:tc>
          <w:tcPr>
            <w:tcW w:w="40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geographic market:</w:t>
            </w:r>
          </w:p>
        </w:tc>
        <w:tc>
          <w:tcPr>
            <w:tcW w:w="18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6"/>
        </w:trPr>
        <w:tc>
          <w:tcPr>
            <w:tcW w:w="4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1,380.6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453.7</w:t>
            </w:r>
          </w:p>
        </w:tc>
        <w:tc>
          <w:tcPr>
            <w:tcW w:w="98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11.6</w:t>
            </w:r>
          </w:p>
        </w:tc>
        <w:tc>
          <w:tcPr>
            <w:tcW w:w="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1,845.9</w:t>
            </w:r>
          </w:p>
        </w:tc>
      </w:tr>
      <w:tr>
        <w:trPr>
          <w:trHeight w:val="23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International countries</w:t>
            </w:r>
          </w:p>
        </w:tc>
        <w:tc>
          <w:tcPr>
            <w:tcW w:w="18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402.3</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64.7</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467.0</w:t>
            </w: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1,782.9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518.4</w:t>
            </w:r>
          </w:p>
        </w:tc>
        <w:tc>
          <w:tcPr>
            <w:tcW w:w="9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11.6</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2,312.9</w:t>
            </w:r>
          </w:p>
        </w:tc>
      </w:tr>
      <w:tr>
        <w:trPr>
          <w:trHeight w:val="24"/>
        </w:trPr>
        <w:tc>
          <w:tcPr>
            <w:tcW w:w="4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May 1, 2026 and October 31, 2025, $38.1 million and $34.0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May 1, 2026, the company recognized $3.6 million and $7.0 million, respectively, of the October 31, 2025 deferred revenue balance within net sales in the Condensed Consolidated Statements of Earnings. The company expects to recognize approximately $6.0 million of the October 31, 2025 deferred revenue amount within net sales throughout the remainder of fiscal 2026, $10.6 million in fiscal 2027, and $10.4 million thereafter.</w:t>
      </w:r>
    </w:p>
    <w:p>
      <w:pPr>
        <w:spacing w:after="0" w:line="113" w:lineRule="exact"/>
        <w:rPr>
          <w:sz w:val="20"/>
          <w:szCs w:val="20"/>
          <w:color w:val="auto"/>
        </w:rPr>
      </w:pPr>
    </w:p>
    <w:p>
      <w:pPr>
        <w:ind w:left="640" w:hanging="614"/>
        <w:spacing w:after="0"/>
        <w:tabs>
          <w:tab w:leader="none" w:pos="640" w:val="left"/>
        </w:tabs>
        <w:numPr>
          <w:ilvl w:val="0"/>
          <w:numId w:val="12"/>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Goodwill and Other Intangible Assets, Net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Tornado Infrastructure Equipment on December 8, 2025 resulted in the recognition of $138.1 million and $63.8 million of preliminary goodwill and other intangible assets, respectively. For additional information on the company's acquisition of Tornado Infrastructure Equipment, refer to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first six months of fiscal 2026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9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w:t>
            </w:r>
          </w:p>
        </w:tc>
        <w:tc>
          <w:tcPr>
            <w:tcW w:w="104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450.9</w:t>
            </w:r>
          </w:p>
        </w:tc>
      </w:t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acquired</w:t>
            </w:r>
          </w:p>
        </w:tc>
        <w:tc>
          <w:tcPr>
            <w:tcW w:w="192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138.1</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w:t>
            </w: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adjustments</w:t>
            </w:r>
          </w:p>
        </w:tc>
        <w:tc>
          <w:tcPr>
            <w:tcW w:w="19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May 1, 2026</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581.0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10.0</w:t>
            </w:r>
          </w:p>
        </w:tc>
        <w:tc>
          <w:tcPr>
            <w:tcW w:w="10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591.0</w:t>
            </w:r>
          </w:p>
        </w:tc>
      </w:tr>
      <w:tr>
        <w:trPr>
          <w:trHeight w:val="24"/>
        </w:trPr>
        <w:tc>
          <w:tcPr>
            <w:tcW w:w="39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net as of May 1, 2026, May 2, 2025, and October 31, 2025 were as follows (dollars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tcPr>
          <w:p>
            <w:pPr>
              <w:jc w:val="center"/>
              <w:ind w:left="1555"/>
              <w:spacing w:after="0" w:line="176"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400" w:type="dxa"/>
            <w:vAlign w:val="bottom"/>
            <w:tcBorders>
              <w:top w:val="single" w:sz="8" w:color="auto"/>
            </w:tcBorders>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40" w:type="dxa"/>
            <w:vAlign w:val="bottom"/>
          </w:tcPr>
          <w:p>
            <w:pPr>
              <w:jc w:val="center"/>
              <w:ind w:left="1555"/>
              <w:spacing w:after="0" w:line="176" w:lineRule="exact"/>
              <w:rPr>
                <w:sz w:val="20"/>
                <w:szCs w:val="20"/>
                <w:color w:val="auto"/>
              </w:rPr>
            </w:pPr>
            <w:r>
              <w:rPr>
                <w:rFonts w:ascii="Times New Roman" w:cs="Times New Roman" w:eastAsia="Times New Roman" w:hAnsi="Times New Roman"/>
                <w:sz w:val="17"/>
                <w:szCs w:val="17"/>
                <w:b w:val="1"/>
                <w:bCs w:val="1"/>
                <w:color w:val="auto"/>
              </w:rPr>
              <w:t>Average Useful</w:t>
            </w: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Net</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vMerge w:val="continue"/>
          </w:tcPr>
          <w:p>
            <w:pPr>
              <w:spacing w:after="0"/>
              <w:rPr>
                <w:sz w:val="19"/>
                <w:szCs w:val="19"/>
                <w:color w:val="auto"/>
              </w:rPr>
            </w:pPr>
          </w:p>
        </w:tc>
        <w:tc>
          <w:tcPr>
            <w:tcW w:w="3040" w:type="dxa"/>
            <w:vAlign w:val="bottom"/>
            <w:tcBorders>
              <w:bottom w:val="single" w:sz="8" w:color="auto"/>
            </w:tcBorders>
          </w:tcPr>
          <w:p>
            <w:pPr>
              <w:jc w:val="center"/>
              <w:ind w:left="1555"/>
              <w:spacing w:after="0"/>
              <w:rPr>
                <w:sz w:val="20"/>
                <w:szCs w:val="20"/>
                <w:color w:val="auto"/>
              </w:rPr>
            </w:pPr>
            <w:r>
              <w:rPr>
                <w:rFonts w:ascii="Times New Roman" w:cs="Times New Roman" w:eastAsia="Times New Roman" w:hAnsi="Times New Roman"/>
                <w:sz w:val="17"/>
                <w:szCs w:val="17"/>
                <w:b w:val="1"/>
                <w:bCs w:val="1"/>
                <w:color w:val="auto"/>
                <w:w w:val="97"/>
              </w:rPr>
              <w:t>Life in Years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Customer-related</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8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350.0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117.1</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8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Backlog and other</w:t>
            </w:r>
          </w:p>
        </w:tc>
        <w:tc>
          <w:tcPr>
            <w:tcW w:w="3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3"/>
        </w:trPr>
        <w:tc>
          <w:tcPr>
            <w:tcW w:w="4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finite-lived</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8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491.8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 trade names</w:t>
            </w:r>
          </w:p>
        </w:tc>
        <w:tc>
          <w:tcPr>
            <w:tcW w:w="3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210.4</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 net</w:t>
            </w:r>
          </w:p>
        </w:tc>
        <w:tc>
          <w:tcPr>
            <w:tcW w:w="3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702.2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4"/>
        </w:trPr>
        <w:tc>
          <w:tcPr>
            <w:tcW w:w="40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tcPr>
          <w:p>
            <w:pPr>
              <w:jc w:val="center"/>
              <w:ind w:left="1555"/>
              <w:spacing w:after="0" w:line="176"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400" w:type="dxa"/>
            <w:vAlign w:val="bottom"/>
            <w:tcBorders>
              <w:top w:val="single" w:sz="8" w:color="auto"/>
            </w:tcBorders>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3040" w:type="dxa"/>
            <w:vAlign w:val="bottom"/>
          </w:tcPr>
          <w:p>
            <w:pPr>
              <w:jc w:val="center"/>
              <w:ind w:left="1555"/>
              <w:spacing w:after="0" w:line="176" w:lineRule="exact"/>
              <w:rPr>
                <w:sz w:val="20"/>
                <w:szCs w:val="20"/>
                <w:color w:val="auto"/>
              </w:rPr>
            </w:pPr>
            <w:r>
              <w:rPr>
                <w:rFonts w:ascii="Times New Roman" w:cs="Times New Roman" w:eastAsia="Times New Roman" w:hAnsi="Times New Roman"/>
                <w:sz w:val="17"/>
                <w:szCs w:val="17"/>
                <w:b w:val="1"/>
                <w:bCs w:val="1"/>
                <w:color w:val="auto"/>
              </w:rPr>
              <w:t>Average Useful</w:t>
            </w: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Net</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vMerge w:val="continue"/>
          </w:tcPr>
          <w:p>
            <w:pPr>
              <w:spacing w:after="0"/>
              <w:rPr>
                <w:sz w:val="19"/>
                <w:szCs w:val="19"/>
                <w:color w:val="auto"/>
              </w:rPr>
            </w:pPr>
          </w:p>
        </w:tc>
        <w:tc>
          <w:tcPr>
            <w:tcW w:w="3040" w:type="dxa"/>
            <w:vAlign w:val="bottom"/>
            <w:tcBorders>
              <w:bottom w:val="single" w:sz="8" w:color="auto"/>
            </w:tcBorders>
          </w:tcPr>
          <w:p>
            <w:pPr>
              <w:jc w:val="center"/>
              <w:ind w:left="1555"/>
              <w:spacing w:after="0"/>
              <w:rPr>
                <w:sz w:val="20"/>
                <w:szCs w:val="20"/>
                <w:color w:val="auto"/>
              </w:rPr>
            </w:pPr>
            <w:r>
              <w:rPr>
                <w:rFonts w:ascii="Times New Roman" w:cs="Times New Roman" w:eastAsia="Times New Roman" w:hAnsi="Times New Roman"/>
                <w:sz w:val="17"/>
                <w:szCs w:val="17"/>
                <w:b w:val="1"/>
                <w:bCs w:val="1"/>
                <w:color w:val="auto"/>
                <w:w w:val="97"/>
              </w:rPr>
              <w:t>Life in Years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Customer-related</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8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320.0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107.1</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456.1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Indefinite-lived - trade names</w:t>
            </w:r>
          </w:p>
        </w:tc>
        <w:tc>
          <w:tcPr>
            <w:tcW w:w="3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271.7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 net</w:t>
            </w:r>
          </w:p>
        </w:tc>
        <w:tc>
          <w:tcPr>
            <w:tcW w:w="30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0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tcPr>
          <w:p>
            <w:pPr>
              <w:jc w:val="center"/>
              <w:ind w:left="1555"/>
              <w:spacing w:after="0" w:line="176"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400" w:type="dxa"/>
            <w:vAlign w:val="bottom"/>
            <w:tcBorders>
              <w:top w:val="single" w:sz="8" w:color="auto"/>
            </w:tcBorders>
            <w:gridSpan w:val="2"/>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3040" w:type="dxa"/>
            <w:vAlign w:val="bottom"/>
          </w:tcPr>
          <w:p>
            <w:pPr>
              <w:jc w:val="center"/>
              <w:ind w:left="1555"/>
              <w:spacing w:after="0" w:line="174" w:lineRule="exact"/>
              <w:rPr>
                <w:sz w:val="20"/>
                <w:szCs w:val="20"/>
                <w:color w:val="auto"/>
              </w:rPr>
            </w:pPr>
            <w:r>
              <w:rPr>
                <w:rFonts w:ascii="Times New Roman" w:cs="Times New Roman" w:eastAsia="Times New Roman" w:hAnsi="Times New Roman"/>
                <w:sz w:val="17"/>
                <w:szCs w:val="17"/>
                <w:b w:val="1"/>
                <w:bCs w:val="1"/>
                <w:color w:val="auto"/>
              </w:rPr>
              <w:t>Average Useful</w:t>
            </w: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Net</w:t>
            </w:r>
          </w:p>
        </w:tc>
        <w:tc>
          <w:tcPr>
            <w:tcW w:w="0" w:type="dxa"/>
            <w:vAlign w:val="bottom"/>
          </w:tcPr>
          <w:p>
            <w:pPr>
              <w:spacing w:after="0"/>
              <w:rPr>
                <w:sz w:val="1"/>
                <w:szCs w:val="1"/>
                <w:color w:val="auto"/>
              </w:rPr>
            </w:pPr>
          </w:p>
        </w:tc>
      </w:tr>
      <w:tr>
        <w:trPr>
          <w:trHeight w:val="228"/>
        </w:trPr>
        <w:tc>
          <w:tcPr>
            <w:tcW w:w="4000" w:type="dxa"/>
            <w:vAlign w:val="bottom"/>
            <w:tcBorders>
              <w:bottom w:val="single" w:sz="8" w:color="auto"/>
            </w:tcBorders>
            <w:vMerge w:val="continue"/>
          </w:tcPr>
          <w:p>
            <w:pPr>
              <w:spacing w:after="0"/>
              <w:rPr>
                <w:sz w:val="19"/>
                <w:szCs w:val="19"/>
                <w:color w:val="auto"/>
              </w:rPr>
            </w:pPr>
          </w:p>
        </w:tc>
        <w:tc>
          <w:tcPr>
            <w:tcW w:w="3040" w:type="dxa"/>
            <w:vAlign w:val="bottom"/>
            <w:tcBorders>
              <w:bottom w:val="single" w:sz="8" w:color="auto"/>
            </w:tcBorders>
          </w:tcPr>
          <w:p>
            <w:pPr>
              <w:jc w:val="center"/>
              <w:ind w:left="1555"/>
              <w:spacing w:after="0"/>
              <w:rPr>
                <w:sz w:val="20"/>
                <w:szCs w:val="20"/>
                <w:color w:val="auto"/>
              </w:rPr>
            </w:pPr>
            <w:r>
              <w:rPr>
                <w:rFonts w:ascii="Times New Roman" w:cs="Times New Roman" w:eastAsia="Times New Roman" w:hAnsi="Times New Roman"/>
                <w:sz w:val="17"/>
                <w:szCs w:val="17"/>
                <w:b w:val="1"/>
                <w:bCs w:val="1"/>
                <w:color w:val="auto"/>
                <w:w w:val="97"/>
              </w:rPr>
              <w:t>Life in Years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Customer-related</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8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320.0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107.1</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446.8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0" w:type="dxa"/>
            <w:vAlign w:val="bottom"/>
          </w:tcPr>
          <w:p>
            <w:pPr>
              <w:spacing w:after="0"/>
              <w:rPr>
                <w:sz w:val="1"/>
                <w:szCs w:val="1"/>
                <w:color w:val="auto"/>
              </w:rPr>
            </w:pPr>
          </w:p>
        </w:tc>
      </w:tr>
      <w:tr>
        <w:trPr>
          <w:trHeight w:val="22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Indefinite-lived - trade names</w:t>
            </w:r>
          </w:p>
        </w:tc>
        <w:tc>
          <w:tcPr>
            <w:tcW w:w="3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190.6</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 net</w:t>
            </w:r>
          </w:p>
        </w:tc>
        <w:tc>
          <w:tcPr>
            <w:tcW w:w="30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finite-lived intangible assets for the three and six months ended May 1, 2026 were $11.1 million and $21.1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finite-lived intangible assets for the three and six months ended May 2, 2025 were $7.7 million and $15.6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2026, estimated amortization expense for the remainder of fiscal 2026 and succeeding fiscal years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7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May 1, 2026</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(remaining)</w:t>
            </w:r>
          </w:p>
        </w:tc>
        <w:tc>
          <w:tcPr>
            <w:tcW w:w="37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7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7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7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7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37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7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22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37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223.4</w:t>
            </w:r>
          </w:p>
        </w:tc>
      </w:tr>
      <w:tr>
        <w:trPr>
          <w:trHeight w:val="24"/>
        </w:trPr>
        <w:tc>
          <w:tcPr>
            <w:tcW w:w="61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440" w:type="dxa"/>
            <w:vAlign w:val="bottom"/>
          </w:tcPr>
          <w:p>
            <w:pPr>
              <w:ind w:left="20"/>
              <w:spacing w:after="0"/>
              <w:rPr>
                <w:sz w:val="20"/>
                <w:szCs w:val="20"/>
                <w:color w:val="auto"/>
              </w:rPr>
            </w:pPr>
            <w:r>
              <w:rPr>
                <w:rFonts w:ascii="Times New Roman" w:cs="Times New Roman" w:eastAsia="Times New Roman" w:hAnsi="Times New Roman"/>
                <w:sz w:val="43"/>
                <w:szCs w:val="43"/>
                <w:b w:val="1"/>
                <w:bCs w:val="1"/>
                <w:color w:val="auto"/>
              </w:rPr>
              <w:t>6</w:t>
            </w:r>
          </w:p>
        </w:tc>
        <w:tc>
          <w:tcPr>
            <w:tcW w:w="480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indebtedness:</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35"/>
        </w:trPr>
        <w:tc>
          <w:tcPr>
            <w:tcW w:w="5240" w:type="dxa"/>
            <w:vAlign w:val="bottom"/>
            <w:tcBorders>
              <w:bottom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221"/>
        </w:trPr>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 due October 2029</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95.0</w:t>
            </w:r>
          </w:p>
        </w:tc>
        <w:tc>
          <w:tcPr>
            <w:tcW w:w="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loan, due October 2029</w:t>
            </w:r>
          </w:p>
        </w:tc>
        <w:tc>
          <w:tcPr>
            <w:tcW w:w="114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due April 2027</w:t>
            </w: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3.81% series A senior notes, due June 2029</w:t>
            </w:r>
          </w:p>
        </w:tc>
        <w:tc>
          <w:tcPr>
            <w:tcW w:w="114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3.91% series B senior notes, due June 2031</w:t>
            </w: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3.97% senior notes, due June 2032</w:t>
            </w:r>
          </w:p>
        </w:tc>
        <w:tc>
          <w:tcPr>
            <w:tcW w:w="114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5.27% senior notes, due September 2032</w:t>
            </w: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2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7.8% debentures, due June 2027</w:t>
            </w:r>
          </w:p>
        </w:tc>
        <w:tc>
          <w:tcPr>
            <w:tcW w:w="114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6.625% senior notes, due May 2037</w:t>
            </w:r>
          </w:p>
        </w:tc>
        <w:tc>
          <w:tcPr>
            <w:tcW w:w="1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124.3</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124.3</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r>
      <w:tr>
        <w:trPr>
          <w:trHeight w:val="226"/>
        </w:trPr>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1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7"/>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debt</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1,016.8</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1,097.1</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w:t>
            </w:r>
          </w:p>
        </w:tc>
      </w:tr>
      <w:tr>
        <w:trPr>
          <w:trHeight w:val="226"/>
        </w:trPr>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current maturities and short-term borrowings</w:t>
            </w:r>
          </w:p>
        </w:tc>
        <w:tc>
          <w:tcPr>
            <w:tcW w:w="1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52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1,016.8</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w:t>
            </w:r>
          </w:p>
        </w:tc>
      </w:tr>
      <w:tr>
        <w:trPr>
          <w:trHeight w:val="20"/>
        </w:trPr>
        <w:tc>
          <w:tcPr>
            <w:tcW w:w="440" w:type="dxa"/>
            <w:vAlign w:val="bottom"/>
            <w:tcBorders>
              <w:top w:val="single" w:sz="8" w:color="CCEEFF"/>
              <w:bottom w:val="single" w:sz="8" w:color="auto"/>
            </w:tcBorders>
          </w:tcPr>
          <w:p>
            <w:pPr>
              <w:spacing w:after="0" w:line="20" w:lineRule="exact"/>
              <w:rPr>
                <w:sz w:val="1"/>
                <w:szCs w:val="1"/>
                <w:color w:val="auto"/>
              </w:rPr>
            </w:pPr>
          </w:p>
        </w:tc>
        <w:tc>
          <w:tcPr>
            <w:tcW w:w="48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May 1, 2026, principal payments required on the company's outstanding indebtedness, based on the maturity dates defined within the company's debt arrangements, for the remainder of fiscal 2026 and succeeding fiscal years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8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May 1, 2026</w:t>
            </w:r>
          </w:p>
        </w:tc>
      </w:tr>
      <w:tr>
        <w:trPr>
          <w:trHeight w:val="22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(remaining)</w:t>
            </w:r>
          </w:p>
        </w:tc>
        <w:tc>
          <w:tcPr>
            <w:tcW w:w="3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8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w:t>
            </w:r>
          </w:p>
        </w:tc>
      </w:tr>
      <w:tr>
        <w:trPr>
          <w:trHeight w:val="23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8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3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9"/>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w:t>
            </w:r>
          </w:p>
        </w:tc>
      </w:tr>
      <w:tr>
        <w:trPr>
          <w:trHeight w:val="223"/>
        </w:trPr>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principal payments required</w:t>
            </w:r>
          </w:p>
        </w:tc>
        <w:tc>
          <w:tcPr>
            <w:tcW w:w="38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1,020.0</w:t>
            </w:r>
          </w:p>
        </w:tc>
      </w:tr>
      <w:tr>
        <w:trPr>
          <w:trHeight w:val="24"/>
        </w:trPr>
        <w:tc>
          <w:tcPr>
            <w:tcW w:w="59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14" w:lineRule="exact"/>
        <w:rPr>
          <w:sz w:val="20"/>
          <w:szCs w:val="20"/>
          <w:color w:val="auto"/>
        </w:rPr>
      </w:pPr>
    </w:p>
    <w:p>
      <w:pPr>
        <w:ind w:left="640" w:hanging="614"/>
        <w:spacing w:after="0"/>
        <w:tabs>
          <w:tab w:leader="none" w:pos="640" w:val="left"/>
        </w:tabs>
        <w:numPr>
          <w:ilvl w:val="0"/>
          <w:numId w:val="13"/>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Inventories, Net</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December 8, 2025, with the acquisition of Tornado Infrastructure Equipment, the company acquired $35.9 million of inventory, based on preliminary fair value purchase accounting adjustments. For additional information on the company's acquisition of Tornado Infrastructure Equipment, refer to Note 2, </w:t>
      </w:r>
      <w:r>
        <w:rPr>
          <w:rFonts w:ascii="Times New Roman" w:cs="Times New Roman" w:eastAsia="Times New Roman" w:hAnsi="Times New Roman"/>
          <w:sz w:val="18"/>
          <w:szCs w:val="18"/>
          <w:i w:val="1"/>
          <w:iCs w:val="1"/>
          <w:color w:val="auto"/>
        </w:rPr>
        <w:t>Acquisitions and Divestitures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20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 and work in process</w:t>
            </w:r>
          </w:p>
        </w:tc>
        <w:tc>
          <w:tcPr>
            <w:tcW w:w="2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398.7</w:t>
            </w:r>
          </w:p>
        </w:tc>
        <w:tc>
          <w:tcPr>
            <w:tcW w:w="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r>
      <w:tr>
        <w:trPr>
          <w:trHeight w:val="226"/>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Finished goods and service parts</w:t>
            </w:r>
          </w:p>
        </w:tc>
        <w:tc>
          <w:tcPr>
            <w:tcW w:w="20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742.4</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898.6</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785.4</w:t>
            </w:r>
          </w:p>
        </w:tc>
      </w:tr>
      <w:tr>
        <w:trPr>
          <w:trHeight w:val="227"/>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FIFO and average cost value</w:t>
            </w:r>
          </w:p>
        </w:tc>
        <w:tc>
          <w:tcPr>
            <w:tcW w:w="20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1,141.1</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1,293.2</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1,138.5</w:t>
            </w:r>
          </w:p>
        </w:tc>
      </w:tr>
      <w:tr>
        <w:trPr>
          <w:trHeight w:val="226"/>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Excess of FIFO over LIFO cost</w:t>
            </w:r>
          </w:p>
        </w:tc>
        <w:tc>
          <w:tcPr>
            <w:tcW w:w="20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173.4</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217.7</w:t>
            </w:r>
          </w:p>
        </w:tc>
      </w:tr>
      <w:tr>
        <w:trPr>
          <w:trHeight w:val="248"/>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 net</w:t>
            </w:r>
          </w:p>
        </w:tc>
        <w:tc>
          <w:tcPr>
            <w:tcW w:w="2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1,119.8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920.8</w:t>
            </w: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640" w:hanging="614"/>
        <w:spacing w:after="0"/>
        <w:tabs>
          <w:tab w:leader="none" w:pos="640" w:val="left"/>
        </w:tabs>
        <w:numPr>
          <w:ilvl w:val="0"/>
          <w:numId w:val="14"/>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Property, Plant, and Equipment, Net</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December 8, 2025, with the acquisition of Tornado Infrastructure Equipment, the company acquired $14.8 million of property, plant, and equipment based on preliminary fair value purchase accounting adjustments. For additional information on the company's acquisition of Tornado Infrastructure Equipment, refer to Note 2, </w:t>
      </w:r>
      <w:r>
        <w:rPr>
          <w:rFonts w:ascii="Times New Roman" w:cs="Times New Roman" w:eastAsia="Times New Roman" w:hAnsi="Times New Roman"/>
          <w:sz w:val="18"/>
          <w:szCs w:val="18"/>
          <w:i w:val="1"/>
          <w:iCs w:val="1"/>
          <w:color w:val="auto"/>
        </w:rPr>
        <w:t>Acquisitions and Divestitures.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9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1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26"/>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1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32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373.1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414.4</w:t>
            </w:r>
          </w:p>
        </w:tc>
      </w:tr>
      <w:tr>
        <w:trPr>
          <w:trHeight w:val="23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9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677.3</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715.6</w:t>
            </w:r>
          </w:p>
        </w:tc>
      </w:tr>
      <w:tr>
        <w:trPr>
          <w:trHeight w:val="226"/>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Tooling</w:t>
            </w:r>
          </w:p>
        </w:tc>
        <w:tc>
          <w:tcPr>
            <w:tcW w:w="1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w:t>
            </w:r>
          </w:p>
        </w:tc>
        <w:tc>
          <w:tcPr>
            <w:tcW w:w="32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232.8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w:t>
            </w:r>
          </w:p>
        </w:tc>
      </w:tr>
      <w:tr>
        <w:trPr>
          <w:trHeight w:val="23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19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99.3</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r>
      <w:tr>
        <w:trPr>
          <w:trHeight w:val="22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process</w:t>
            </w:r>
          </w:p>
        </w:tc>
        <w:tc>
          <w:tcPr>
            <w:tcW w:w="1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149.8</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27"/>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19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1,668.4</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1,605.8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1,636.6</w:t>
            </w:r>
          </w:p>
        </w:tc>
      </w:tr>
      <w:tr>
        <w:trPr>
          <w:trHeight w:val="22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1,045.4</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970.0</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1,020.8</w:t>
            </w:r>
          </w:p>
        </w:tc>
      </w:tr>
      <w:tr>
        <w:trPr>
          <w:trHeight w:val="248"/>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623.0</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615.8</w:t>
            </w: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2026, the company acquired $19.8 million of property, plant, and equipment through a non-cash investing and financing transaction.</w:t>
      </w:r>
    </w:p>
    <w:p>
      <w:pPr>
        <w:spacing w:after="0" w:line="83" w:lineRule="exact"/>
        <w:rPr>
          <w:sz w:val="20"/>
          <w:szCs w:val="20"/>
          <w:color w:val="auto"/>
        </w:rPr>
      </w:pPr>
    </w:p>
    <w:p>
      <w:pPr>
        <w:ind w:left="640" w:hanging="614"/>
        <w:spacing w:after="0"/>
        <w:tabs>
          <w:tab w:leader="none" w:pos="640" w:val="left"/>
        </w:tabs>
        <w:numPr>
          <w:ilvl w:val="0"/>
          <w:numId w:val="1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Product Warranty Guarantees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accrual related to warranties issued during the period</w:t>
            </w:r>
          </w:p>
        </w:tc>
        <w:tc>
          <w:tcPr>
            <w:tcW w:w="78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29.1</w:t>
            </w: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26.6</w:t>
            </w: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3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made during the period</w:t>
            </w:r>
          </w:p>
        </w:tc>
        <w:tc>
          <w:tcPr>
            <w:tcW w:w="7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26"/>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Changes in accrual related to pre-existing warranties</w:t>
            </w:r>
          </w:p>
        </w:tc>
        <w:tc>
          <w:tcPr>
            <w:tcW w:w="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48"/>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10 </w:t>
      </w:r>
      <w:r>
        <w:rPr>
          <w:rFonts w:ascii="Times New Roman" w:cs="Times New Roman" w:eastAsia="Times New Roman" w:hAnsi="Times New Roman"/>
          <w:sz w:val="19"/>
          <w:szCs w:val="19"/>
          <w:b w:val="1"/>
          <w:bCs w:val="1"/>
          <w:color w:val="auto"/>
        </w:rPr>
        <w:t>Investment in Joint Venture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May 1, 2026, May 2, 2025 and October 31, 2025 was $45.0 million, $51.2 million, and $41.0 million, respectively. The company has not guaranteed the outstanding indebtedness of Red Iron.</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11 </w:t>
      </w:r>
      <w:r>
        <w:rPr>
          <w:rFonts w:ascii="Times New Roman" w:cs="Times New Roman" w:eastAsia="Times New Roman" w:hAnsi="Times New Roman"/>
          <w:sz w:val="19"/>
          <w:szCs w:val="19"/>
          <w:b w:val="1"/>
          <w:bCs w:val="1"/>
          <w:color w:val="auto"/>
        </w:rPr>
        <w:t>Stock-Based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related to stock-based compensation awards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6"/>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share awards</w:t>
            </w:r>
          </w:p>
        </w:tc>
        <w:tc>
          <w:tcPr>
            <w:tcW w:w="8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 awards</w:t>
            </w:r>
          </w:p>
        </w:tc>
        <w:tc>
          <w:tcPr>
            <w:tcW w:w="8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6"/>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Unrestricted common stock awards</w:t>
            </w: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48"/>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compensation cost for stock-based compensation awards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17, 2026, the company’s shareholders approved The Toro Company 2026 Equity Plan (the “2026 plan”), which became effective immediately and replaced The Toro Company 2022 Equity and Incentive Plan (the “2022 plan”). The 2026 plan is administered by the Compensation &amp; Human Resources Committee of the Board and permits the grant of nonqualified and incentive stock options, stock appreciation rights, restricted stock, restricted stock units, performance shares, performance units, and other stock-based awards to eligible individuals. Subject to adjustment as provided in the 2026 plan, the maximum aggregate number of shares of the company’s common stock authorized for issuance under the 2026 plan is equal to the sum of: (a) 3,650,000 shares, plus (b) the number of shares remaining available for grant under the 2022 plan but not subject to outstanding awards thereunder as of March 17, 2026, and plus (c) the number of shares subject to awards outstanding under the 2022 plan as of March 17, 2026 but only to the extent that such outstanding awards are forfeited, expire or otherwise terminate without the issuance of such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illustrates the weighted-average valuation assumptions used under the Black-Scholes valuation method for options granted in the first six months of the following fiscal periods: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Borders>
              <w:top w:val="single" w:sz="8" w:color="auto"/>
              <w:bottom w:val="single" w:sz="8" w:color="auto"/>
            </w:tcBorders>
          </w:tcPr>
          <w:p>
            <w:pPr>
              <w:spacing w:after="0"/>
              <w:rPr>
                <w:sz w:val="20"/>
                <w:szCs w:val="20"/>
                <w:color w:val="auto"/>
              </w:rPr>
            </w:pPr>
          </w:p>
        </w:tc>
        <w:tc>
          <w:tcPr>
            <w:tcW w:w="3560" w:type="dxa"/>
            <w:vAlign w:val="bottom"/>
            <w:tcBorders>
              <w:top w:val="single" w:sz="8" w:color="auto"/>
              <w:bottom w:val="single" w:sz="8" w:color="auto"/>
            </w:tcBorders>
          </w:tcPr>
          <w:p>
            <w:pPr>
              <w:ind w:left="2280"/>
              <w:spacing w:after="0"/>
              <w:rPr>
                <w:sz w:val="20"/>
                <w:szCs w:val="20"/>
                <w:color w:val="auto"/>
              </w:rPr>
            </w:pPr>
            <w:r>
              <w:rPr>
                <w:rFonts w:ascii="Times New Roman" w:cs="Times New Roman" w:eastAsia="Times New Roman" w:hAnsi="Times New Roman"/>
                <w:sz w:val="17"/>
                <w:szCs w:val="17"/>
                <w:b w:val="1"/>
                <w:bCs w:val="1"/>
                <w:color w:val="auto"/>
              </w:rPr>
              <w:t>Fiscal 2026</w:t>
            </w:r>
          </w:p>
        </w:tc>
        <w:tc>
          <w:tcPr>
            <w:tcW w:w="1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Fiscal 2025</w:t>
            </w:r>
          </w:p>
        </w:tc>
      </w:tr>
      <w:tr>
        <w:trPr>
          <w:trHeight w:val="22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of option in years</w:t>
            </w:r>
          </w:p>
        </w:tc>
        <w:tc>
          <w:tcPr>
            <w:tcW w:w="3560" w:type="dxa"/>
            <w:vAlign w:val="bottom"/>
            <w:shd w:val="clear" w:color="auto" w:fill="CCEEFF"/>
          </w:tcPr>
          <w:p>
            <w:pPr>
              <w:jc w:val="center"/>
              <w:ind w:left="1735"/>
              <w:spacing w:after="0"/>
              <w:rPr>
                <w:sz w:val="20"/>
                <w:szCs w:val="20"/>
                <w:color w:val="auto"/>
              </w:rPr>
            </w:pPr>
            <w:r>
              <w:rPr>
                <w:rFonts w:ascii="Times New Roman" w:cs="Times New Roman" w:eastAsia="Times New Roman" w:hAnsi="Times New Roman"/>
                <w:sz w:val="17"/>
                <w:szCs w:val="17"/>
                <w:color w:val="auto"/>
              </w:rPr>
              <w:t>6.90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6.42</w:t>
            </w:r>
          </w:p>
        </w:tc>
      </w:tr>
      <w:tr>
        <w:trPr>
          <w:trHeight w:val="22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3560" w:type="dxa"/>
            <w:vAlign w:val="bottom"/>
          </w:tcPr>
          <w:p>
            <w:pPr>
              <w:jc w:val="center"/>
              <w:ind w:left="1755"/>
              <w:spacing w:after="0"/>
              <w:rPr>
                <w:sz w:val="20"/>
                <w:szCs w:val="20"/>
                <w:color w:val="auto"/>
              </w:rPr>
            </w:pPr>
            <w:r>
              <w:rPr>
                <w:rFonts w:ascii="Times New Roman" w:cs="Times New Roman" w:eastAsia="Times New Roman" w:hAnsi="Times New Roman"/>
                <w:sz w:val="17"/>
                <w:szCs w:val="17"/>
                <w:color w:val="auto"/>
                <w:w w:val="99"/>
              </w:rPr>
              <w:t>28.84%</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28.08%</w:t>
            </w:r>
          </w:p>
        </w:tc>
      </w:tr>
      <w:tr>
        <w:trPr>
          <w:trHeight w:val="23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3560" w:type="dxa"/>
            <w:vAlign w:val="bottom"/>
            <w:shd w:val="clear" w:color="auto" w:fill="CCEEFF"/>
          </w:tcPr>
          <w:p>
            <w:pPr>
              <w:jc w:val="center"/>
              <w:ind w:left="1755"/>
              <w:spacing w:after="0"/>
              <w:rPr>
                <w:sz w:val="20"/>
                <w:szCs w:val="20"/>
                <w:color w:val="auto"/>
              </w:rPr>
            </w:pPr>
            <w:r>
              <w:rPr>
                <w:rFonts w:ascii="Times New Roman" w:cs="Times New Roman" w:eastAsia="Times New Roman" w:hAnsi="Times New Roman"/>
                <w:sz w:val="17"/>
                <w:szCs w:val="17"/>
                <w:color w:val="auto"/>
              </w:rPr>
              <w:t>3.91%</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4.47%</w:t>
            </w:r>
          </w:p>
        </w:tc>
      </w:tr>
      <w:tr>
        <w:trPr>
          <w:trHeight w:val="226"/>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3560" w:type="dxa"/>
            <w:vAlign w:val="bottom"/>
          </w:tcPr>
          <w:p>
            <w:pPr>
              <w:jc w:val="center"/>
              <w:ind w:left="1755"/>
              <w:spacing w:after="0"/>
              <w:rPr>
                <w:sz w:val="20"/>
                <w:szCs w:val="20"/>
                <w:color w:val="auto"/>
              </w:rPr>
            </w:pPr>
            <w:r>
              <w:rPr>
                <w:rFonts w:ascii="Times New Roman" w:cs="Times New Roman" w:eastAsia="Times New Roman" w:hAnsi="Times New Roman"/>
                <w:sz w:val="17"/>
                <w:szCs w:val="17"/>
                <w:color w:val="auto"/>
              </w:rPr>
              <w:t>1.41%</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1.43%</w:t>
            </w:r>
          </w:p>
        </w:tc>
      </w:tr>
      <w:tr>
        <w:trPr>
          <w:trHeight w:val="230"/>
        </w:trPr>
        <w:tc>
          <w:tcPr>
            <w:tcW w:w="5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weighted-average fair value at date of grant</w:t>
            </w:r>
          </w:p>
        </w:tc>
        <w:tc>
          <w:tcPr>
            <w:tcW w:w="3560" w:type="dxa"/>
            <w:vAlign w:val="bottom"/>
            <w:tcBorders>
              <w:bottom w:val="single" w:sz="8" w:color="auto"/>
            </w:tcBorders>
            <w:shd w:val="clear" w:color="auto" w:fill="CCEEFF"/>
          </w:tcPr>
          <w:p>
            <w:pPr>
              <w:jc w:val="center"/>
              <w:ind w:left="1755"/>
              <w:spacing w:after="0"/>
              <w:rPr>
                <w:sz w:val="20"/>
                <w:szCs w:val="20"/>
                <w:color w:val="auto"/>
              </w:rPr>
            </w:pPr>
            <w:r>
              <w:rPr>
                <w:rFonts w:ascii="Times New Roman" w:cs="Times New Roman" w:eastAsia="Times New Roman" w:hAnsi="Times New Roman"/>
                <w:sz w:val="17"/>
                <w:szCs w:val="17"/>
                <w:color w:val="auto"/>
              </w:rPr>
              <w:t>$25.35</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$25.53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but may also be granted throughout the fiscal year in connection with hiring, mid-year promotions, leadership transition, or retention, as needed and applicable.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six months of fiscal 2026 and 2025 was $78.47 and $80.05,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unit awards are generally granted to executive officers and other employees. Occasionally, restricted stock unit awards may be granted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six months of fiscal 2026 and 2025 was $78.88 and $78.48,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Unrestricted Common Stock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six months of fiscal 2026 and 2025, 9,880 and 8,808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second quarter of fiscal 2026 and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12 </w:t>
      </w:r>
      <w:r>
        <w:rPr>
          <w:rFonts w:ascii="Times New Roman" w:cs="Times New Roman" w:eastAsia="Times New Roman" w:hAnsi="Times New Roman"/>
          <w:sz w:val="19"/>
          <w:szCs w:val="19"/>
          <w:b w:val="1"/>
          <w:bCs w:val="1"/>
          <w:color w:val="auto"/>
        </w:rPr>
        <w:t>Stockholders'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accumulated other comprehensive loss ("AOCL"), net of tax, within the Condensed Consolidated Statements of Stockholders' Equity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7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w:t>
            </w:r>
          </w:p>
        </w:tc>
        <w:tc>
          <w:tcPr>
            <w:tcW w:w="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benefits</w:t>
            </w:r>
          </w:p>
        </w:tc>
        <w:tc>
          <w:tcPr>
            <w:tcW w:w="17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derivative instruments</w:t>
            </w:r>
          </w:p>
        </w:tc>
        <w:tc>
          <w:tcPr>
            <w:tcW w:w="17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accumulated other comprehensive loss</w:t>
            </w:r>
          </w:p>
        </w:tc>
        <w:tc>
          <w:tcPr>
            <w:tcW w:w="1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19.1</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4"/>
        </w:trPr>
        <w:tc>
          <w:tcPr>
            <w:tcW w:w="4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net of tax, for the three and six month periods ended May 1, 2026 and May 2, 2025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55"/>
              <w:spacing w:after="0" w:line="176" w:lineRule="exact"/>
              <w:rPr>
                <w:sz w:val="20"/>
                <w:szCs w:val="20"/>
                <w:color w:val="auto"/>
              </w:rPr>
            </w:pPr>
            <w:r>
              <w:rPr>
                <w:rFonts w:ascii="Times New Roman" w:cs="Times New Roman" w:eastAsia="Times New Roman" w:hAnsi="Times New Roman"/>
                <w:sz w:val="17"/>
                <w:szCs w:val="17"/>
                <w:b w:val="1"/>
                <w:bCs w:val="1"/>
                <w:color w:val="auto"/>
              </w:rPr>
              <w:t>Foreign</w:t>
            </w: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center"/>
              <w:ind w:right="115"/>
              <w:spacing w:after="0" w:line="174" w:lineRule="exact"/>
              <w:rPr>
                <w:sz w:val="20"/>
                <w:szCs w:val="20"/>
                <w:color w:val="auto"/>
              </w:rPr>
            </w:pPr>
            <w:r>
              <w:rPr>
                <w:rFonts w:ascii="Times New Roman" w:cs="Times New Roman" w:eastAsia="Times New Roman" w:hAnsi="Times New Roman"/>
                <w:sz w:val="17"/>
                <w:szCs w:val="17"/>
                <w:b w:val="1"/>
                <w:bCs w:val="1"/>
                <w:color w:val="auto"/>
              </w:rPr>
              <w:t>Currency</w:t>
            </w:r>
          </w:p>
        </w:tc>
        <w:tc>
          <w:tcPr>
            <w:tcW w:w="280" w:type="dxa"/>
            <w:vAlign w:val="bottom"/>
          </w:tcPr>
          <w:p>
            <w:pPr>
              <w:spacing w:after="0"/>
              <w:rPr>
                <w:sz w:val="15"/>
                <w:szCs w:val="15"/>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940" w:type="dxa"/>
            <w:vAlign w:val="bottom"/>
          </w:tcPr>
          <w:p>
            <w:pPr>
              <w:spacing w:after="0"/>
              <w:rPr>
                <w:sz w:val="15"/>
                <w:szCs w:val="15"/>
                <w:color w:val="auto"/>
              </w:rPr>
            </w:pPr>
          </w:p>
        </w:tc>
        <w:tc>
          <w:tcPr>
            <w:tcW w:w="1220" w:type="dxa"/>
            <w:vAlign w:val="bottom"/>
          </w:tcPr>
          <w:p>
            <w:pPr>
              <w:jc w:val="center"/>
              <w:ind w:right="95"/>
              <w:spacing w:after="0" w:line="176"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340" w:type="dxa"/>
            <w:vAlign w:val="bottom"/>
          </w:tcPr>
          <w:p>
            <w:pPr>
              <w:spacing w:after="0"/>
              <w:rPr>
                <w:sz w:val="15"/>
                <w:szCs w:val="15"/>
                <w:color w:val="auto"/>
              </w:rPr>
            </w:pPr>
          </w:p>
        </w:tc>
        <w:tc>
          <w:tcPr>
            <w:tcW w:w="1020" w:type="dxa"/>
            <w:vAlign w:val="bottom"/>
            <w:vMerge w:val="restart"/>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30, 2026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3"/>
              </w:rPr>
              <w:t>8.8</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94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0" w:type="dxa"/>
            <w:vAlign w:val="bottom"/>
          </w:tcPr>
          <w:p>
            <w:pPr>
              <w:jc w:val="center"/>
              <w:ind w:left="635"/>
              <w:spacing w:after="0"/>
              <w:rPr>
                <w:sz w:val="20"/>
                <w:szCs w:val="20"/>
                <w:color w:val="auto"/>
              </w:rPr>
            </w:pPr>
            <w:r>
              <w:rPr>
                <w:rFonts w:ascii="Times New Roman" w:cs="Times New Roman" w:eastAsia="Times New Roman" w:hAnsi="Times New Roman"/>
                <w:sz w:val="17"/>
                <w:szCs w:val="17"/>
                <w:color w:val="auto"/>
                <w:w w:val="98"/>
              </w:rPr>
              <w:t>(1.2)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9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8"/>
              </w:rPr>
              <w:t>(2.6)</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7"/>
                <w:szCs w:val="17"/>
                <w:color w:val="auto"/>
                <w:w w:val="98"/>
              </w:rPr>
              <w:t>(3.8)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1, 2026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3"/>
              </w:rPr>
              <w:t>5.0</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7"/>
                <w:szCs w:val="17"/>
                <w:b w:val="1"/>
                <w:bCs w:val="1"/>
                <w:color w:val="auto"/>
              </w:rPr>
              <w:t>Foreign</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center"/>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Currency</w:t>
            </w:r>
          </w:p>
        </w:tc>
        <w:tc>
          <w:tcPr>
            <w:tcW w:w="280" w:type="dxa"/>
            <w:vAlign w:val="bottom"/>
          </w:tcPr>
          <w:p>
            <w:pPr>
              <w:spacing w:after="0"/>
              <w:rPr>
                <w:sz w:val="15"/>
                <w:szCs w:val="15"/>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940" w:type="dxa"/>
            <w:vAlign w:val="bottom"/>
          </w:tcPr>
          <w:p>
            <w:pPr>
              <w:spacing w:after="0"/>
              <w:rPr>
                <w:sz w:val="15"/>
                <w:szCs w:val="15"/>
                <w:color w:val="auto"/>
              </w:rPr>
            </w:pPr>
          </w:p>
        </w:tc>
        <w:tc>
          <w:tcPr>
            <w:tcW w:w="1220" w:type="dxa"/>
            <w:vAlign w:val="bottom"/>
          </w:tcPr>
          <w:p>
            <w:pPr>
              <w:jc w:val="center"/>
              <w:ind w:right="95"/>
              <w:spacing w:after="0" w:line="176"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340" w:type="dxa"/>
            <w:vAlign w:val="bottom"/>
          </w:tcPr>
          <w:p>
            <w:pPr>
              <w:spacing w:after="0"/>
              <w:rPr>
                <w:sz w:val="15"/>
                <w:szCs w:val="15"/>
                <w:color w:val="auto"/>
              </w:rPr>
            </w:pPr>
          </w:p>
        </w:tc>
        <w:tc>
          <w:tcPr>
            <w:tcW w:w="1020" w:type="dxa"/>
            <w:vAlign w:val="bottom"/>
            <w:vMerge w:val="restart"/>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25.4</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3"/>
              </w:rPr>
              <w:t>4.6</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28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3"/>
              </w:rPr>
              <w:t>5.3</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9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8"/>
              </w:rPr>
              <w:t>(4.9)</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7"/>
                <w:szCs w:val="17"/>
                <w:color w:val="auto"/>
                <w:w w:val="93"/>
              </w:rPr>
              <w:t>0.4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1, 2026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9.0</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3"/>
              </w:rPr>
              <w:t>5.0</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7"/>
                <w:szCs w:val="17"/>
                <w:b w:val="1"/>
                <w:bCs w:val="1"/>
                <w:color w:val="auto"/>
              </w:rPr>
              <w:t>Foreign</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center"/>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Currency</w:t>
            </w:r>
          </w:p>
        </w:tc>
        <w:tc>
          <w:tcPr>
            <w:tcW w:w="280" w:type="dxa"/>
            <w:vAlign w:val="bottom"/>
          </w:tcPr>
          <w:p>
            <w:pPr>
              <w:spacing w:after="0"/>
              <w:rPr>
                <w:sz w:val="15"/>
                <w:szCs w:val="15"/>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940" w:type="dxa"/>
            <w:vAlign w:val="bottom"/>
          </w:tcPr>
          <w:p>
            <w:pPr>
              <w:spacing w:after="0"/>
              <w:rPr>
                <w:sz w:val="15"/>
                <w:szCs w:val="15"/>
                <w:color w:val="auto"/>
              </w:rPr>
            </w:pPr>
          </w:p>
        </w:tc>
        <w:tc>
          <w:tcPr>
            <w:tcW w:w="1220" w:type="dxa"/>
            <w:vAlign w:val="bottom"/>
          </w:tcPr>
          <w:p>
            <w:pPr>
              <w:jc w:val="center"/>
              <w:ind w:right="95"/>
              <w:spacing w:after="0" w:line="176"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340" w:type="dxa"/>
            <w:vAlign w:val="bottom"/>
          </w:tcPr>
          <w:p>
            <w:pPr>
              <w:spacing w:after="0"/>
              <w:rPr>
                <w:sz w:val="15"/>
                <w:szCs w:val="15"/>
                <w:color w:val="auto"/>
              </w:rPr>
            </w:pPr>
          </w:p>
        </w:tc>
        <w:tc>
          <w:tcPr>
            <w:tcW w:w="1020" w:type="dxa"/>
            <w:vAlign w:val="bottom"/>
            <w:vMerge w:val="restart"/>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43.8</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8"/>
              </w:rPr>
              <w:t>(0.9)</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0" w:type="dxa"/>
            <w:vAlign w:val="bottom"/>
          </w:tcPr>
          <w:p>
            <w:pPr>
              <w:spacing w:after="0"/>
              <w:rPr>
                <w:sz w:val="1"/>
                <w:szCs w:val="1"/>
                <w:color w:val="auto"/>
              </w:rPr>
            </w:pP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8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3"/>
              </w:rPr>
              <w:t>9.9</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9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8"/>
              </w:rPr>
              <w:t>(0.3)</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7"/>
                <w:szCs w:val="17"/>
                <w:color w:val="auto"/>
                <w:w w:val="93"/>
              </w:rPr>
              <w:t>9.6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2,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29.0</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3"/>
              </w:rPr>
              <w:t>8.7</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jc w:val="right"/>
              <w:ind w:right="355"/>
              <w:spacing w:after="0" w:line="155" w:lineRule="exact"/>
              <w:rPr>
                <w:sz w:val="20"/>
                <w:szCs w:val="20"/>
                <w:color w:val="auto"/>
              </w:rPr>
            </w:pPr>
            <w:r>
              <w:rPr>
                <w:rFonts w:ascii="Times New Roman" w:cs="Times New Roman" w:eastAsia="Times New Roman" w:hAnsi="Times New Roman"/>
                <w:sz w:val="17"/>
                <w:szCs w:val="17"/>
                <w:b w:val="1"/>
                <w:bCs w:val="1"/>
                <w:color w:val="auto"/>
              </w:rPr>
              <w:t>Foreign</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jc w:val="center"/>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Currency</w:t>
            </w:r>
          </w:p>
        </w:tc>
        <w:tc>
          <w:tcPr>
            <w:tcW w:w="280" w:type="dxa"/>
            <w:vAlign w:val="bottom"/>
          </w:tcPr>
          <w:p>
            <w:pPr>
              <w:spacing w:after="0"/>
              <w:rPr>
                <w:sz w:val="15"/>
                <w:szCs w:val="15"/>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940" w:type="dxa"/>
            <w:vAlign w:val="bottom"/>
          </w:tcPr>
          <w:p>
            <w:pPr>
              <w:spacing w:after="0"/>
              <w:rPr>
                <w:sz w:val="15"/>
                <w:szCs w:val="15"/>
                <w:color w:val="auto"/>
              </w:rPr>
            </w:pPr>
          </w:p>
        </w:tc>
        <w:tc>
          <w:tcPr>
            <w:tcW w:w="1220" w:type="dxa"/>
            <w:vAlign w:val="bottom"/>
          </w:tcPr>
          <w:p>
            <w:pPr>
              <w:jc w:val="center"/>
              <w:ind w:right="95"/>
              <w:spacing w:after="0" w:line="176"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340" w:type="dxa"/>
            <w:vAlign w:val="bottom"/>
          </w:tcPr>
          <w:p>
            <w:pPr>
              <w:spacing w:after="0"/>
              <w:rPr>
                <w:sz w:val="15"/>
                <w:szCs w:val="15"/>
                <w:color w:val="auto"/>
              </w:rPr>
            </w:pPr>
          </w:p>
        </w:tc>
        <w:tc>
          <w:tcPr>
            <w:tcW w:w="1020" w:type="dxa"/>
            <w:vAlign w:val="bottom"/>
            <w:vMerge w:val="restart"/>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8"/>
        </w:trPr>
        <w:tc>
          <w:tcPr>
            <w:tcW w:w="49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Instruments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33.9</w:t>
            </w:r>
          </w:p>
        </w:tc>
        <w:tc>
          <w:tcPr>
            <w:tcW w:w="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3"/>
              </w:rPr>
              <w:t>7.8</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26"/>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8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0" w:type="dxa"/>
            <w:vAlign w:val="bottom"/>
          </w:tcPr>
          <w:p>
            <w:pPr>
              <w:jc w:val="center"/>
              <w:ind w:left="675"/>
              <w:spacing w:after="0"/>
              <w:rPr>
                <w:sz w:val="20"/>
                <w:szCs w:val="20"/>
                <w:color w:val="auto"/>
              </w:rPr>
            </w:pPr>
            <w:r>
              <w:rPr>
                <w:rFonts w:ascii="Times New Roman" w:cs="Times New Roman" w:eastAsia="Times New Roman" w:hAnsi="Times New Roman"/>
                <w:sz w:val="17"/>
                <w:szCs w:val="17"/>
                <w:color w:val="auto"/>
                <w:w w:val="93"/>
              </w:rPr>
              <w:t>2.6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9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8"/>
              </w:rPr>
              <w:t>(1.7)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7"/>
                <w:szCs w:val="17"/>
                <w:color w:val="auto"/>
                <w:w w:val="93"/>
              </w:rPr>
              <w:t>0.9</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2,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29.0</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3"/>
              </w:rPr>
              <w:t>8.7</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13 </w:t>
      </w:r>
      <w:r>
        <w:rPr>
          <w:rFonts w:ascii="Times New Roman" w:cs="Times New Roman" w:eastAsia="Times New Roman" w:hAnsi="Times New Roman"/>
          <w:sz w:val="19"/>
          <w:szCs w:val="19"/>
          <w:b w:val="1"/>
          <w:bCs w:val="1"/>
          <w:color w:val="auto"/>
        </w:rPr>
        <w:t>Per Share Data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basic and diluted weighted-average number of shares of common stock outstanding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700" w:type="dxa"/>
            <w:vAlign w:val="bottom"/>
            <w:tcBorders>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(Shares in millions)</w:t>
            </w: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1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1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i w:val="1"/>
                <w:iCs w:val="1"/>
                <w:color w:val="auto"/>
                <w:w w:val="97"/>
              </w:rPr>
              <w:t>Diluted</w:t>
            </w:r>
          </w:p>
        </w:tc>
        <w:tc>
          <w:tcPr>
            <w:tcW w:w="50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tc>
        <w:tc>
          <w:tcPr>
            <w:tcW w:w="15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96.6</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99.8</w:t>
            </w: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97.3</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55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shares</w:t>
            </w:r>
          </w:p>
        </w:tc>
        <w:tc>
          <w:tcPr>
            <w:tcW w:w="15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0.5</w:t>
            </w:r>
          </w:p>
        </w:tc>
        <w:tc>
          <w:tcPr>
            <w:tcW w:w="14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w:t>
            </w:r>
          </w:p>
        </w:tc>
        <w:tc>
          <w:tcPr>
            <w:tcW w:w="14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tc>
        <w:tc>
          <w:tcPr>
            <w:tcW w:w="1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97.1</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100.1</w:t>
            </w:r>
          </w:p>
        </w:tc>
        <w:tc>
          <w:tcPr>
            <w:tcW w:w="14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97.7</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w:t>
            </w:r>
          </w:p>
        </w:tc>
      </w:tr>
      <w:tr>
        <w:trPr>
          <w:trHeight w:val="24"/>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 of dilutive shares from stock option awards and restricted stock unit awards is computed under the treasury stock method. Stock option awards to purchase 1,280,471 and 2,580,317 shares of common stock during the second quarter of fiscal 2026 and 2025, respectively, and to purchase 1,893,120 and 2,059,715 shares of common stock during the first six months of fiscal 2026 and 2025, respectively, were excluded from the computation of diluted net earnings per share of common stock because they were anti-dilutive.</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14 </w:t>
      </w:r>
      <w:r>
        <w:rPr>
          <w:rFonts w:ascii="Times New Roman" w:cs="Times New Roman" w:eastAsia="Times New Roman" w:hAnsi="Times New Roman"/>
          <w:sz w:val="19"/>
          <w:szCs w:val="19"/>
          <w:b w:val="1"/>
          <w:bCs w:val="1"/>
          <w:color w:val="auto"/>
        </w:rPr>
        <w:t>Commitments and Contingencies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Financing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this arrangement with Red Iron for the six months ended May 1, 2026 and May 2, 2025 were $1,387.7 million and $1,346.5 million, respectively. The total amount of net receivables outstanding under this arrangement with Red Iron as of May 1, 2026, May 2, 2025, and October 31, 2025 were $902.5 million, $1,021.2 million and $807.6 million, respectively. The total amount of receivables due from Red Iron to the company as of May 1, 2026, May 2, 2025, and October 31, 2025 were $32.3 million, $19.3 million and $21.6 million,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for the six months ended May 1, 2026 and May 2, 2025 were $348.3 million and $319.2 million, respectively. As of May 1, 2026, May 2, 2025, and October 31, 2025, $292.1 million, $253.5 million and $308.3 million, respectively, of receivables financed by HCFC and the other third-party financial institutions were outstanding.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Repurchase Agreements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May 1, 2026, May 2, 2025 and October 31, 2025, the company was contingently liable to repurchase up to a maximum amount of $29.8 million, $28.9 million, and $29.0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six months ended May 1, 2026 and May 2,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May 1, 2026, May 2, 2025 and October 31, 2025, $103.0 million, $124.5 million, and $68.8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15 </w:t>
      </w:r>
      <w:r>
        <w:rPr>
          <w:rFonts w:ascii="Times New Roman" w:cs="Times New Roman" w:eastAsia="Times New Roman" w:hAnsi="Times New Roman"/>
          <w:sz w:val="19"/>
          <w:szCs w:val="19"/>
          <w:b w:val="1"/>
          <w:bCs w:val="1"/>
          <w:color w:val="auto"/>
        </w:rPr>
        <w:t>Leases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expense incurred on the company’s operating, short-term, and variable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2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6"/>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2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0"/>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2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23"/>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lease expense</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4"/>
        </w:trPr>
        <w:tc>
          <w:tcPr>
            <w:tcW w:w="37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w:t>
      </w:r>
    </w:p>
    <w:p>
      <w:pPr>
        <w:spacing w:after="0" w:line="150"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3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1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w:t>
            </w:r>
          </w:p>
        </w:tc>
        <w:tc>
          <w:tcPr>
            <w:tcW w:w="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6"/>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cash flows for amounts included in the measurement of lease liabilities</w:t>
            </w:r>
          </w:p>
        </w:tc>
        <w:tc>
          <w:tcPr>
            <w:tcW w:w="13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14.6</w:t>
            </w: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lease information related to the company's operating leases: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top w:val="single" w:sz="8" w:color="auto"/>
              <w:bottom w:val="single" w:sz="8" w:color="auto"/>
            </w:tcBorders>
          </w:tcPr>
          <w:p>
            <w:pPr>
              <w:spacing w:after="0"/>
              <w:rPr>
                <w:sz w:val="20"/>
                <w:szCs w:val="20"/>
                <w:color w:val="auto"/>
              </w:rPr>
            </w:pPr>
          </w:p>
        </w:tc>
        <w:tc>
          <w:tcPr>
            <w:tcW w:w="238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17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16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of operating leases in years</w:t>
            </w:r>
          </w:p>
        </w:tc>
        <w:tc>
          <w:tcPr>
            <w:tcW w:w="2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7.7</w:t>
            </w:r>
          </w:p>
        </w:tc>
        <w:tc>
          <w:tcPr>
            <w:tcW w:w="1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6"/>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of operating leases</w:t>
            </w:r>
          </w:p>
        </w:tc>
        <w:tc>
          <w:tcPr>
            <w:tcW w:w="23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5.21 %</w:t>
            </w:r>
          </w:p>
        </w:tc>
        <w:tc>
          <w:tcPr>
            <w:tcW w:w="17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5.06 %</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5.04 %</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May 1, 2026: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33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May 1, 2026</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(remaining)</w:t>
            </w:r>
          </w:p>
        </w:tc>
        <w:tc>
          <w:tcPr>
            <w:tcW w:w="33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2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2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minimum operating lease payments</w:t>
            </w:r>
          </w:p>
        </w:tc>
        <w:tc>
          <w:tcPr>
            <w:tcW w:w="3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r>
      <w:tr>
        <w:trPr>
          <w:trHeight w:val="226"/>
        </w:trPr>
        <w:tc>
          <w:tcPr>
            <w:tcW w:w="6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imputed interest</w:t>
            </w:r>
          </w:p>
        </w:tc>
        <w:tc>
          <w:tcPr>
            <w:tcW w:w="3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48"/>
        </w:trPr>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33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16 </w:t>
      </w:r>
      <w:r>
        <w:rPr>
          <w:rFonts w:ascii="Times New Roman" w:cs="Times New Roman" w:eastAsia="Times New Roman" w:hAnsi="Times New Roman"/>
          <w:sz w:val="19"/>
          <w:szCs w:val="19"/>
          <w:b w:val="1"/>
          <w:bCs w:val="1"/>
          <w:color w:val="auto"/>
        </w:rPr>
        <w:t>Derivative Instruments and Hedging Activities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Hedging Instruments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84"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18"/>
          <w:szCs w:val="18"/>
          <w:color w:val="auto"/>
        </w:rPr>
        <w:t xml:space="preserve">As of May 1, 2026, the notional amount outstanding of forward currency contracts designated as cash flow hedging instruments was $371.5 million. </w:t>
      </w:r>
      <w:r>
        <w:rPr>
          <w:rFonts w:ascii="Times New Roman" w:cs="Times New Roman" w:eastAsia="Times New Roman" w:hAnsi="Times New Roman"/>
          <w:sz w:val="18"/>
          <w:szCs w:val="18"/>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and location of the company’s derivative instruments on the 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assets:</w:t>
            </w:r>
          </w:p>
        </w:tc>
        <w:tc>
          <w:tcPr>
            <w:tcW w:w="1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8"/>
        </w:trPr>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1"/>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6"/>
        </w:trPr>
        <w:tc>
          <w:tcPr>
            <w:tcW w:w="5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3"/>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Derivatives not designated as cash flow hedging instruments:</w:t>
            </w:r>
          </w:p>
        </w:tc>
        <w:tc>
          <w:tcPr>
            <w:tcW w:w="1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6"/>
        </w:trPr>
        <w:tc>
          <w:tcPr>
            <w:tcW w:w="5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0.7</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derivative assets</w:t>
            </w: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4"/>
        </w:trPr>
        <w:tc>
          <w:tcPr>
            <w:tcW w:w="5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61"/>
        </w:trPr>
        <w:tc>
          <w:tcPr>
            <w:tcW w:w="5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liabilities:</w:t>
            </w:r>
          </w:p>
        </w:tc>
        <w:tc>
          <w:tcPr>
            <w:tcW w:w="1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8"/>
        </w:trPr>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1"/>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6"/>
        </w:trPr>
        <w:tc>
          <w:tcPr>
            <w:tcW w:w="5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3"/>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Derivatives not designated as cash flow hedging instruments:</w:t>
            </w:r>
          </w:p>
        </w:tc>
        <w:tc>
          <w:tcPr>
            <w:tcW w:w="1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6"/>
        </w:trPr>
        <w:tc>
          <w:tcPr>
            <w:tcW w:w="5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3"/>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derivative liabilities</w:t>
            </w: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11.1</w:t>
            </w: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4"/>
        </w:trPr>
        <w:tc>
          <w:tcPr>
            <w:tcW w:w="5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master netting arrangements on the fair value of the company’s derivative instruments that are recorded on the Condensed Consolidated Balance Sheets: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6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assets:</w:t>
            </w:r>
          </w:p>
        </w:tc>
        <w:tc>
          <w:tcPr>
            <w:tcW w:w="1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Forward currency contracts:</w:t>
            </w: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1"/>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amount of derivative assets</w:t>
            </w:r>
          </w:p>
        </w:tc>
        <w:tc>
          <w:tcPr>
            <w:tcW w:w="1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6"/>
        </w:trPr>
        <w:tc>
          <w:tcPr>
            <w:tcW w:w="4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Derivative liabilities offsetting derivative assets</w:t>
            </w:r>
          </w:p>
        </w:tc>
        <w:tc>
          <w:tcPr>
            <w:tcW w:w="1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48"/>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amount of derivative assets</w:t>
            </w:r>
          </w:p>
        </w:tc>
        <w:tc>
          <w:tcPr>
            <w:tcW w:w="1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5"/>
        </w:trPr>
        <w:tc>
          <w:tcPr>
            <w:tcW w:w="47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liabilities:</w:t>
            </w:r>
          </w:p>
        </w:tc>
        <w:tc>
          <w:tcPr>
            <w:tcW w:w="1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Forward currency contracts:</w:t>
            </w: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1"/>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amount of derivative liabilities</w:t>
            </w:r>
          </w:p>
        </w:tc>
        <w:tc>
          <w:tcPr>
            <w:tcW w:w="1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w:t>
            </w:r>
          </w:p>
        </w:tc>
        <w:tc>
          <w:tcPr>
            <w:tcW w:w="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6"/>
        </w:trPr>
        <w:tc>
          <w:tcPr>
            <w:tcW w:w="4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Derivative assets offsetting derivative liabilities</w:t>
            </w:r>
          </w:p>
        </w:tc>
        <w:tc>
          <w:tcPr>
            <w:tcW w:w="16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0.2</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48"/>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amount of derivative liabilities</w:t>
            </w:r>
          </w:p>
        </w:tc>
        <w:tc>
          <w:tcPr>
            <w:tcW w:w="16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11.1</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May 1, 2026 and May 2,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3"/>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75"/>
              <w:spacing w:after="0" w:line="163" w:lineRule="exact"/>
              <w:rPr>
                <w:sz w:val="20"/>
                <w:szCs w:val="20"/>
                <w:color w:val="auto"/>
              </w:rPr>
            </w:pPr>
            <w:r>
              <w:rPr>
                <w:rFonts w:ascii="Times New Roman" w:cs="Times New Roman" w:eastAsia="Times New Roman" w:hAnsi="Times New Roman"/>
                <w:sz w:val="17"/>
                <w:szCs w:val="17"/>
                <w:b w:val="1"/>
                <w:bCs w:val="1"/>
                <w:color w:val="auto"/>
              </w:rPr>
              <w:t>Loss Reclassified from AOCL into</w:t>
            </w:r>
          </w:p>
        </w:tc>
        <w:tc>
          <w:tcPr>
            <w:tcW w:w="160" w:type="dxa"/>
            <w:vAlign w:val="bottom"/>
          </w:tcPr>
          <w:p>
            <w:pPr>
              <w:spacing w:after="0"/>
              <w:rPr>
                <w:sz w:val="14"/>
                <w:szCs w:val="14"/>
                <w:color w:val="auto"/>
              </w:rPr>
            </w:pPr>
          </w:p>
        </w:tc>
        <w:tc>
          <w:tcPr>
            <w:tcW w:w="2600" w:type="dxa"/>
            <w:vAlign w:val="bottom"/>
            <w:gridSpan w:val="3"/>
          </w:tcPr>
          <w:p>
            <w:pPr>
              <w:jc w:val="center"/>
              <w:ind w:right="15"/>
              <w:spacing w:after="0" w:line="163" w:lineRule="exact"/>
              <w:rPr>
                <w:sz w:val="20"/>
                <w:szCs w:val="20"/>
                <w:color w:val="auto"/>
              </w:rPr>
            </w:pPr>
            <w:r>
              <w:rPr>
                <w:rFonts w:ascii="Times New Roman" w:cs="Times New Roman" w:eastAsia="Times New Roman" w:hAnsi="Times New Roman"/>
                <w:sz w:val="17"/>
                <w:szCs w:val="17"/>
                <w:b w:val="1"/>
                <w:bCs w:val="1"/>
                <w:color w:val="auto"/>
              </w:rPr>
              <w:t>Gain (Loss) Recognized in OCI on</w:t>
            </w:r>
          </w:p>
        </w:tc>
      </w:tr>
      <w:tr>
        <w:trPr>
          <w:trHeight w:val="227"/>
        </w:trPr>
        <w:tc>
          <w:tcPr>
            <w:tcW w:w="5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Derivatives</w:t>
            </w:r>
          </w:p>
        </w:tc>
      </w:tr>
      <w:tr>
        <w:trPr>
          <w:trHeight w:val="222"/>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5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w w:val="98"/>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w w:val="93"/>
              </w:rPr>
              <w:t>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26"/>
        </w:trPr>
        <w:tc>
          <w:tcPr>
            <w:tcW w:w="5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7"/>
                <w:szCs w:val="17"/>
                <w:color w:val="auto"/>
                <w:w w:val="98"/>
              </w:rPr>
              <w:t>(1.6)</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7"/>
                <w:szCs w:val="17"/>
                <w:color w:val="auto"/>
                <w:w w:val="98"/>
              </w:rPr>
              <w:t>(1.6)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8"/>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cash flow hedging instruments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w w:val="98"/>
              </w:rPr>
              <w:t>(2.6)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8"/>
              </w:rPr>
              <w:t>(0.3)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w w:val="93"/>
              </w:rPr>
              <w:t>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62"/>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75"/>
              <w:spacing w:after="0" w:line="162" w:lineRule="exact"/>
              <w:rPr>
                <w:sz w:val="20"/>
                <w:szCs w:val="20"/>
                <w:color w:val="auto"/>
              </w:rPr>
            </w:pPr>
            <w:r>
              <w:rPr>
                <w:rFonts w:ascii="Times New Roman" w:cs="Times New Roman" w:eastAsia="Times New Roman" w:hAnsi="Times New Roman"/>
                <w:sz w:val="17"/>
                <w:szCs w:val="17"/>
                <w:b w:val="1"/>
                <w:bCs w:val="1"/>
                <w:color w:val="auto"/>
              </w:rPr>
              <w:t>Loss Reclassified from AOCL into</w:t>
            </w:r>
          </w:p>
        </w:tc>
        <w:tc>
          <w:tcPr>
            <w:tcW w:w="160" w:type="dxa"/>
            <w:vAlign w:val="bottom"/>
          </w:tcPr>
          <w:p>
            <w:pPr>
              <w:spacing w:after="0"/>
              <w:rPr>
                <w:sz w:val="14"/>
                <w:szCs w:val="14"/>
                <w:color w:val="auto"/>
              </w:rPr>
            </w:pPr>
          </w:p>
        </w:tc>
        <w:tc>
          <w:tcPr>
            <w:tcW w:w="2600" w:type="dxa"/>
            <w:vAlign w:val="bottom"/>
            <w:gridSpan w:val="3"/>
          </w:tcPr>
          <w:p>
            <w:pPr>
              <w:jc w:val="center"/>
              <w:ind w:right="15"/>
              <w:spacing w:after="0" w:line="162" w:lineRule="exact"/>
              <w:rPr>
                <w:sz w:val="20"/>
                <w:szCs w:val="20"/>
                <w:color w:val="auto"/>
              </w:rPr>
            </w:pPr>
            <w:r>
              <w:rPr>
                <w:rFonts w:ascii="Times New Roman" w:cs="Times New Roman" w:eastAsia="Times New Roman" w:hAnsi="Times New Roman"/>
                <w:sz w:val="17"/>
                <w:szCs w:val="17"/>
                <w:b w:val="1"/>
                <w:bCs w:val="1"/>
                <w:color w:val="auto"/>
              </w:rPr>
              <w:t>Loss Recognized in OCI on</w:t>
            </w:r>
          </w:p>
        </w:tc>
      </w:tr>
      <w:tr>
        <w:trPr>
          <w:trHeight w:val="228"/>
        </w:trPr>
        <w:tc>
          <w:tcPr>
            <w:tcW w:w="5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Derivatives</w:t>
            </w:r>
          </w:p>
        </w:tc>
      </w:tr>
      <w:tr>
        <w:trPr>
          <w:trHeight w:val="22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5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3"/>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w w:val="98"/>
              </w:rPr>
              <w:t>(5.4)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8"/>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6"/>
        </w:trPr>
        <w:tc>
          <w:tcPr>
            <w:tcW w:w="5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7"/>
                <w:szCs w:val="17"/>
                <w:color w:val="auto"/>
                <w:w w:val="98"/>
              </w:rPr>
              <w:t>(3.2)</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7"/>
                <w:szCs w:val="17"/>
                <w:color w:val="auto"/>
                <w:w w:val="93"/>
              </w:rPr>
              <w:t>3.1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48"/>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cash flow hedging instruments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w w:val="98"/>
              </w:rPr>
              <w:t>(4.9)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w w:val="98"/>
              </w:rPr>
              <w:t>(1.7)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7"/>
                <w:szCs w:val="17"/>
                <w:color w:val="auto"/>
                <w:w w:val="98"/>
              </w:rPr>
              <w:t>(0.4)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immaterial gains and losses within other income, net in the Condensed Consolidated Statements of Earnings during the second quarter and first six months of fiscal 2026 and fiscal 2025, respectively, due to the discontinuance of cash flow hedge accounting on certain forward currency contracts designated as cash flow hedging instruments. As of May 1, 2026, the company expects to reclassify approximately $5.4 million of losses from AOCL to earnings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7"/>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(Loss) Gain Recognized in Earnings on Cash Flow Hedging Instruments</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Condensed Consolidated Statements of Earnings (Loss) income (expense)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1,424.7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w:t>
            </w:r>
          </w:p>
        </w:tc>
        <w:tc>
          <w:tcPr>
            <w:tcW w:w="2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1,317.9</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(881.2)</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in which the effects of cash flow hedging instruments are recorded</w:t>
            </w: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(Loss) gain on derivatives designated as cash flow hedging instruments: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Amount of (loss) gain reclassified from AOCL into earnings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Gain on components excluded from effectiveness testing recognized in earnings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0.8</w:t>
            </w:r>
          </w:p>
        </w:tc>
        <w:tc>
          <w:tcPr>
            <w:tcW w:w="2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based on changes in fair value</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gridSpan w:val="7"/>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(Loss) Gain Recognized in Earnings on Cash Flow Hedging Instruments</w:t>
            </w:r>
          </w:p>
        </w:tc>
        <w:tc>
          <w:tcPr>
            <w:tcW w:w="0" w:type="dxa"/>
            <w:vAlign w:val="bottom"/>
          </w:tcPr>
          <w:p>
            <w:pPr>
              <w:spacing w:after="0"/>
              <w:rPr>
                <w:sz w:val="1"/>
                <w:szCs w:val="1"/>
                <w:color w:val="auto"/>
              </w:rPr>
            </w:pPr>
          </w:p>
        </w:tc>
      </w:tr>
      <w:tr>
        <w:trPr>
          <w:trHeight w:val="228"/>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Condensed Consolidated Statements of Earnings income (expense) amounts in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2,461.0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(1,641.8)</w:t>
            </w:r>
          </w:p>
        </w:tc>
        <w:tc>
          <w:tcPr>
            <w:tcW w:w="2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2,312.9</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(1,540.6)</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which the effects of cash flow hedging instruments are recorded</w:t>
            </w:r>
          </w:p>
        </w:tc>
        <w:tc>
          <w:tcPr>
            <w:tcW w:w="1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(Loss) gain on derivatives designated as cash flow hedging instruments: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Amount of (loss) gain reclassified from AOCL into earnings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66"/>
        </w:trPr>
        <w:tc>
          <w:tcPr>
            <w:tcW w:w="5700" w:type="dxa"/>
            <w:vAlign w:val="bottom"/>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Gain on components excluded from effectiveness testing recognized in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6"/>
        </w:trPr>
        <w:tc>
          <w:tcPr>
            <w:tcW w:w="57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earnings based on changes in fair value</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Loss on derivatives not designated as cash flow hedging instruments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loss, net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loss on derivatives not designated as cash flow hedging instruments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4"/>
        </w:trPr>
        <w:tc>
          <w:tcPr>
            <w:tcW w:w="5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17 </w:t>
      </w:r>
      <w:r>
        <w:rPr>
          <w:rFonts w:ascii="Times New Roman" w:cs="Times New Roman" w:eastAsia="Times New Roman" w:hAnsi="Times New Roman"/>
          <w:sz w:val="19"/>
          <w:szCs w:val="19"/>
          <w:b w:val="1"/>
          <w:bCs w:val="1"/>
          <w:color w:val="auto"/>
        </w:rPr>
        <w:t>Fair Value Measurements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by level within the fair value hierarchy, the company's financial assets and liabilities that are measured at fair value on a recurring basis as of May 1, 2026, May 2, 2025, and October 31, 2025,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71755</wp:posOffset>
            </wp:positionV>
            <wp:extent cx="30346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Inputs Considered as: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256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56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4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9"/>
        </w:trPr>
        <w:tc>
          <w:tcPr>
            <w:tcW w:w="34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256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11.1</w:t>
            </w:r>
          </w:p>
        </w:tc>
        <w:tc>
          <w:tcPr>
            <w:tcW w:w="12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56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11.1</w:t>
            </w:r>
          </w:p>
        </w:tc>
        <w:tc>
          <w:tcPr>
            <w:tcW w:w="124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154305</wp:posOffset>
            </wp:positionV>
            <wp:extent cx="30346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Inputs Considered as: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26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4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9"/>
        </w:trPr>
        <w:tc>
          <w:tcPr>
            <w:tcW w:w="34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26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60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4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137160</wp:posOffset>
            </wp:positionV>
            <wp:extent cx="30346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Inputs Considered as: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2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26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4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9"/>
        </w:trPr>
        <w:tc>
          <w:tcPr>
            <w:tcW w:w="34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26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60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4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May 1, 2026, May 2, 2025, and October 31, 2025, the company's long-term debt included $724.3 million, $524.3 million, and $724.3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May 1, 2026, the estimated gross fair value of long-term debt with fixed interest rates was $721.6 million compared to its gross carrying amount of $724.3 million. As of May 2, 2025, the estimated gross fair value of long-term debt with fixed interest rates was $523.0 million compared to its gross carrying amount of $524.3 million. As of October 31, 2025, the estimated gross fair value of long-term debt with fixed interest rates was $733.1 million compared to its gross carrying amount of $724.3 million. For additional information regarding long-term debt with fixed interest rates, refer to Note 6, </w:t>
      </w:r>
      <w:r>
        <w:rPr>
          <w:rFonts w:ascii="Times New Roman" w:cs="Times New Roman" w:eastAsia="Times New Roman" w:hAnsi="Times New Roman"/>
          <w:sz w:val="18"/>
          <w:szCs w:val="18"/>
          <w:i w:val="1"/>
          <w:iCs w:val="1"/>
          <w:color w:val="auto"/>
        </w:rPr>
        <w:t>Indebtedness.</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18 </w:t>
      </w:r>
      <w:r>
        <w:rPr>
          <w:rFonts w:ascii="Times New Roman" w:cs="Times New Roman" w:eastAsia="Times New Roman" w:hAnsi="Times New Roman"/>
          <w:sz w:val="19"/>
          <w:szCs w:val="19"/>
          <w:b w:val="1"/>
          <w:bCs w:val="1"/>
          <w:color w:val="auto"/>
        </w:rPr>
        <w:t>Subsequent Events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2025. Unless expressly stated otherwise, the comparisons presented in this MD&amp;A refer to the same period in the prior fiscal year. Our MD&amp;A is presented as follows:</w:t>
      </w:r>
    </w:p>
    <w:p>
      <w:pPr>
        <w:spacing w:after="0" w:line="7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are disclosed in our most recent Sustainability Report, which is not incorporated by reference into and does not form any part of this report.</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Tornado Infrastructure Equipment Ltd. ("Tornado Infrastructure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2025, we completed the acquisition of Tornado Infrastructure Equipment, a publicly held Canadian company and a manufacturer in the hydrovac excavation solutions industry. Tornado Infrastructure Equipment manufactures hydrovac excavation solutions and industrial equipment solutions for the underground construction, power transmission and energy markets and provides innovative product offerings that broaden and strengthen our Professional segment and expands its dealer network.</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cash consideration, net of cash acquired, was $210.3 million ("purchase price"). The purchase price was funded with borrowings under its existing revolving credit facility. We believe that the information available as of the closing date provides a reasonable basis for estimating fair values of the assets acquired and liabilities assumed; however, we are continuing to finalize these amounts. Thus, the preliminary measurements of the fair values of the assets acquired and liabilities assumed are subject to change as additional information becomes available and as additional analysis is performed. We expect to finalize the preliminary measurements of fair values as soon as practicable, but no later than one year from the closing date of the acquisition, as required. For additional information regarding the Tornado Infrastructure Equipment acquisition, refer to Note 2, Acquisitions and Divestitures in the Notes to Condensed Consolidated Financial Statements included in Part I. Item 1 of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tariff environment is complex and evolving. Our business has incurred, and expects to continue to incur, additional costs related to tariffs. We have taken and will continue to take actions to mitigate inflationary pressures caused by tariffs through a combination of targeted price increases, strategic sourcing adjustments, manufacturing and product portfolio optimization, as well as our ongoing efforts to drive sustainable efficiency gains in our operations and administrative structures.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2026, the United States Supreme Court issued a decision invalidating certain tariffs imposed under the International Emergency Economic Powers Act ("IEEPA"). This ruling did not address the availability, timing, or mechanics of any potential refunds of tariffs previously collected.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Court of International Trade ("CIT") has issued orders directing the U.S. Customs and Border Protection ("CBP") to refund previously collected IEEPA tariffs. CBP has since launched the Consolidated Administration and Processing of Entries ("CAPE") system which is being deployed in phases to facilitate the submission, validation, and payment of IEEPA tariff refund claims.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guarantee that any refund, if received, will equal the full amount of IEEPA tariffs paid, and any refund may be subject to further legal, regulatory, or administrative developments. Given these uncertainties, the Company has not recognized any benefit or asset related to potential IEEPA tariff refunds as of May 1, 2026. Based on currently available information, the Company estimates it may be eligible to recover approximately $20 million of IEEPA tariffs paid.</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Anticipated IEEPA refunds are expected to substantially offset incremental tariff headwinds associated with changes to tariff regulations enacted in the second quarter of fiscal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AMP Initiative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fiscal 2024, we launched a significant productivity initiative named AMP, which is a multi-year initiative now on track to achieve at least $125 million of run-rate savings by fiscal 2027, up from the initial program estimate of at least $100 million. The program is driven by sustainable supply-base, design-to-value, route-to-market, and operational efficiency transformation. We expect to reinvest a portion of the savings from this initiative to drive further innovation and growth. As of the second quarter of fiscal 2026, the AMP initiative has delivered cumulative cost savings of $106.8 million and anticipated annualized cost savings of $105.4 million. Refer to the section titled "Non-GAAP Financial Measures" for information about the productivity initiative charges incurred to generate these savings.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July 4, 2025, U.S tax legislation known as the "One Big Beautiful Bill Act" ("OBBB") was signed into law which made permanent many of the tax provisions enacted in 2017 as part of the Tax Cuts and Jobs Act that were set to expire at the end of 2025 and other changes to certain U.S. corporate tax provisions, with staggered effective dates beginning this year. While we continue to evaluate the impact of the legislation on our financial position, we do not expect it to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Consolidated net sales for the second quarter of fiscal 2026 were $1,424.7 million, up 8.1 percent compared to $1,317.9 million in the second quarter of fiscal 2025. For the first six months of fiscal 2026, consolidated net sales were $2,461.0 million, up 6.4 percent compared to $2,312.9 million in the second quarter of fiscal 2025.</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Professional segment net sales for the second quarter of fiscal 2026 were $1,106.6 million, up 9.1 percent compared to $1,014.1 million in the second quarter of fiscal 2025. For the first six months of fiscal 2026, Professional net sales were $1,930.6 million, an increase of 8.3 percent compared to $1,782.9 million in the second quarter of the prior fiscal year.</w:t>
      </w:r>
    </w:p>
    <w:p>
      <w:pPr>
        <w:spacing w:after="0" w:line="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Residential segment net sales for the second quarter of fiscal 2026 were $310.4 million, up 4.4 percent compared to $297.4 million in the second quarter of fiscal 2025. For the first six months of fiscal 2026, Residential net sales were $516.4 million, a decrease of 0.4 percent compared to $518.4 million in the second quarter of the prior fiscal year.</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earnings for the second quarter of fiscal 2026 were $145.4 million, or $1.50 per diluted share, compared to $136.8 million, or $1.37 per diluted share, for the second quarter of fiscal 2025. Net earnings for the first six months of fiscal 2026 were $213.3 million, or $2.18 per diluted share, compared to $189.6 million, or $1.88 per diluted share, in the comparable fiscal 2025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earnings for the second quarter of fiscal 2026 were $155.4 million, or $1.60 per diluted share, compared to $141.8 million, or $1.42 per diluted share, for the second quarter of fiscal 2025. Adjusted net earnings for the first six months of fiscal 2026 were $228.0 million, or $2.33 per diluted share, compared to $207.7 million, or $2.06 per diluted share, in the comparable fiscal 2025 period.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maintained our tradition of paying quarterly cash dividends and increased our cash dividend for the second quarter of fiscal 2026 by 2.6 percent to $0.39 per share compared to $0.38 per share paid in the second quarter of fiscal 2025.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$360.9 million of cash to our stockholders during the first six months of fiscal 2026.</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Field inventory levels were lower as of the end of the second quarter of fiscal 2026 compared to the end of the second quarter of fiscal 2025 as balances approximate appropriate levels across all product categories.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order backlog represents unfulfilled customer orders at a point in time. Our order backlog as of the end of the second quarter of fiscal 2026 was similar to the end of the fourth quarter of fiscal 2025 as backlog has largely normalized.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net sales for the second quarter of fiscal 2026 were $1,424.7 million, up 8.1 percent compared to $1,317.9 million in the second quarter of fiscal 2025. The increase was primary driven by net price realization, the Tornado acquisition, and higher shipments of both Professional and Residential segment products. For the year-to-date period of 2026, consolidated net sales were $2,461.0 million, up 6.4 percent compared to $2,312.9 million in the second quarter of fiscal 2025. The increase was primarily driven by net price realization, higher shipments of Professional segment products, and the Tornado acquisition, partially offset by lower shipments of Residential segment products.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international markets increased by $23.2 million and decreased by $0.7 million for the second quarter and year-to-date periods of fiscal 2026, respectively. The increase for the second quarter comparison was primarily due to higher shipments of Residential and Professional segment products. For the year-to-date period of 2026, net sales outside the US were flat as lower volumes were largely offset by net price realization.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foreign currency exchange rates resulted in an increase in our net sales of approximately $8.0 million and $12.0 million for the second quarter and year-to-date periods of fiscal 2026,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as a percentage of consolidated net sales: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80" w:type="dxa"/>
            <w:vAlign w:val="bottom"/>
            <w:tcBorders>
              <w:bottom w:val="single" w:sz="8" w:color="auto"/>
            </w:tcBorders>
            <w:gridSpan w:val="2"/>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4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14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15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6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100.0 %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100.0 %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(66.1)</w:t>
            </w: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(66.7)</w:t>
            </w: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(66.6)</w:t>
            </w: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Gross profit</w:t>
            </w:r>
          </w:p>
        </w:tc>
        <w:tc>
          <w:tcPr>
            <w:tcW w:w="26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33.9</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33.3</w:t>
            </w:r>
          </w:p>
        </w:tc>
        <w:tc>
          <w:tcPr>
            <w:tcW w:w="1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33.4</w:t>
            </w:r>
          </w:p>
        </w:tc>
      </w:tr>
      <w:tr>
        <w:trPr>
          <w:trHeight w:val="22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26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(20.2)</w:t>
            </w: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(21.8)</w:t>
            </w: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(22.5)</w:t>
            </w: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26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13.7</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11.5</w:t>
            </w:r>
          </w:p>
        </w:tc>
        <w:tc>
          <w:tcPr>
            <w:tcW w:w="1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10.9</w:t>
            </w:r>
          </w:p>
        </w:tc>
      </w:tr>
      <w:tr>
        <w:trPr>
          <w:trHeight w:val="226"/>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(1.0)</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(1.2)</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w:t>
            </w:r>
          </w:p>
        </w:tc>
      </w:tr>
      <w:tr>
        <w:trPr>
          <w:trHeight w:val="229"/>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2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0.2</w:t>
            </w:r>
          </w:p>
        </w:tc>
        <w:tc>
          <w:tcPr>
            <w:tcW w:w="1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0.7</w:t>
            </w:r>
          </w:p>
        </w:tc>
        <w:tc>
          <w:tcPr>
            <w:tcW w:w="13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0.6</w:t>
            </w:r>
          </w:p>
        </w:tc>
      </w:tr>
      <w:tr>
        <w:trPr>
          <w:trHeight w:val="223"/>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262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12.9</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15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11.0</w:t>
            </w: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10.2</w:t>
            </w:r>
          </w:p>
        </w:tc>
      </w:tr>
      <w:tr>
        <w:trPr>
          <w:trHeight w:val="229"/>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6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(2.7)</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(2.3)</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4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10.2 %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8.7 %</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8.2 %</w:t>
            </w:r>
          </w:p>
        </w:tc>
      </w:tr>
      <w:tr>
        <w:trPr>
          <w:trHeight w:val="24"/>
        </w:trPr>
        <w:tc>
          <w:tcPr>
            <w:tcW w:w="4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for the second quarter of fiscal 2026 was $482.7 million, up 10.5 percent compared to $436.7 million for the second quarter of fiscal 2025. Gross margin was 33.9 percent for the second quarter of fiscal 2026 compared to 33.1 percent for the second quarter of fiscal 2025, an increase of 80 basis points. The increase in gross margin for the second quarter comparison was primarily due to net price realization and productivity improvements, partially offset by higher material, manufacturing, and freight costs, as well as product mix. Gross profit for the year-to-date period of fiscal 2026 was $819.2 million, up 6.1 percent compared to $772.3 million for the same period of fiscal 2025. Gross margin was 33.3 percent for the year-to-date period of fiscal 2026 compared to 33.4 percent for the prior year comparable period, a decrease of (10) basis points. The decrease in gross margin for the year-to-date comparison was primarily due to higher material, manufacturing, and freight costs and product mix, mostly offset by net price realization and productivity improvements.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expense increased $25.8 million, or 9.9 percent, for the second quarter of fiscal 2026 and increased $17.4 million, or 3.3 percent, for the year-to-date period of fiscal 2026 compared to the same respective periods of fiscal 2025. As a percentage of net sales, SG&amp;A expense increased 40 basis points for the second quarter of fiscal 2026 and decreased 70 basis points for the year-to-date period of fiscal 2026 compared to the same respective periods of fiscal 2025. The increase in SG&amp;A expense as a percentage of net sales for the second quarter was primarily due to higher warranty and incentive expenses, partially offset by net sales leverage and lower warehousing costs. The decrease in the year-to-date comparison was primarily due to net sales leverage, lower warehousing costs, and cost savings measures, partially offset by higher warranty and incentive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decreased $1.0 million and $1.8 million for the second quarter and year-to-date periods of fiscal 2026, respectively, compared to the same respective periods of fiscal 2025. The decreases in interest expense for the second quarter and year-to-date comparisons were primarily due to lower average interest rates and lower average outstanding borrowings.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net decreased $6.5 million and increased $4.2 million for the second quarter and year-to-date periods of fiscal 2026, respectively, compared to the same respective periods of fiscal 2025. The decrease in other income, net for the second quarter comparison was primarily due to facility exit charges, a less favorable net impact from foreign currency and derivative instruments, and lower income from our Red Iron joint venture. The increase in other income, net for the year-to-date comparison was primarily due to net gains on facility exits, partially offset by lower income from our Red Iron joint venture.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second quarter and year-to date periods of fiscal 2026 was 20.7 percent and 21.1 percent, respectively, compared to 18.9 percent and 19.3 percent, respectively, in the second quarter of fiscal 2025, primarily due to a less favorable geographic mix of earnings. The adjusted effective tax rate for the second quarter and year to date periods of fiscal 2026 was 21.7 percent and 21.6 percent, respectively, compared to an adjusted effective tax rate of 18.7 percent and 19.2 percent, respectively, in the second quarter of fiscal 2025, primarily driven by a less favorable geographic mix of earnings.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earnings for the second quarter of fiscal 2026 were $145.4 million, or $1.50 per diluted share, compared to $136.8 million, or $1.37 per diluted share, for the second quarter of fiscal 2025. Adjusted net earnings for the second quarter of fiscal 2026 were $155.4 million, or $1.60 per diluted share, compared to $141.8 million, or $1.42 per diluted share, for the second quarter of fiscal 2025, an increase of 12.7 percent per diluted share. The increase in net earnings per diluted share for the second quarter comparison was primarily due to higher Professional and Residential segment earnings, partially offset by higher corporate expenses and higher productivity initiative charges. Net earnings for the first six months of fiscal 2026 were $213.3 million, or $2.18 per diluted share, compared to $189.6 million, or $1.88 per diluted share, for the same period of fiscal 2025. Adjusted net earnings for the first six months of fiscal 2026 were $228.0 million, or $2.33 per diluted share, compared to $207.7 million, or $2.06 per diluted share, for the same year-to-date period of fiscal 2025, an increase of 13.1% per diluted share. The increase in net earnings per diluted share for the second quarter comparison was primarily due to higher Professional and Residential segment earnings.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more fully described in Note 3, </w:t>
      </w:r>
      <w:r>
        <w:rPr>
          <w:rFonts w:ascii="Times New Roman" w:cs="Times New Roman" w:eastAsia="Times New Roman" w:hAnsi="Times New Roman"/>
          <w:sz w:val="18"/>
          <w:szCs w:val="18"/>
          <w:i w:val="1"/>
          <w:iCs w:val="1"/>
          <w:color w:val="auto"/>
        </w:rPr>
        <w:t>Segment Data</w:t>
      </w:r>
      <w:r>
        <w:rPr>
          <w:rFonts w:ascii="Times New Roman" w:cs="Times New Roman" w:eastAsia="Times New Roman" w:hAnsi="Times New Roman"/>
          <w:sz w:val="18"/>
          <w:szCs w:val="18"/>
          <w:color w:val="auto"/>
        </w:rPr>
        <w:t>, of the Notes to the Condensed Consolidated Financial Statements, we operate in two reportable business segments: Professional and Residential. Segment earnings (loss) before interest and taxes ("EBIT") for our Professional and Residential reportable segments are defined as earnings from operations plus other income, net. Our remaining activities consisting of a wholly-owned domestic distribution company, Red Iron joint venture, certain corporate activities, impairment charges, and the elimination of intersegment revenues and expenses, are presented as "Other" due to their insignificance. Corporate activities include general corporate expenditures, such as finance, human resources, legal, information technology, public relations, business development, and similar activities, productivity initiative charges, and other unallocated corporate assets and liabilities, such as corporate facilities and deferred tax assets and liabilities. The following tables summarize net sales for our reportable business segments and Other activities:</w:t>
      </w:r>
    </w:p>
    <w:p>
      <w:pPr>
        <w:spacing w:after="0" w:line="11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6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415"/>
              <w:spacing w:after="0" w:line="172" w:lineRule="exact"/>
              <w:rPr>
                <w:sz w:val="20"/>
                <w:szCs w:val="20"/>
                <w:color w:val="auto"/>
              </w:rPr>
            </w:pPr>
            <w:r>
              <w:rPr>
                <w:rFonts w:ascii="Times New Roman" w:cs="Times New Roman" w:eastAsia="Times New Roman" w:hAnsi="Times New Roman"/>
                <w:sz w:val="17"/>
                <w:szCs w:val="17"/>
                <w:b w:val="1"/>
                <w:bCs w:val="1"/>
                <w:color w:val="auto"/>
              </w:rPr>
              <w:t>Dollar</w:t>
            </w:r>
          </w:p>
        </w:tc>
        <w:tc>
          <w:tcPr>
            <w:tcW w:w="1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Percentage Change</w:t>
            </w:r>
          </w:p>
        </w:tc>
        <w:tc>
          <w:tcPr>
            <w:tcW w:w="0" w:type="dxa"/>
            <w:vAlign w:val="bottom"/>
          </w:tcPr>
          <w:p>
            <w:pPr>
              <w:spacing w:after="0"/>
              <w:rPr>
                <w:sz w:val="1"/>
                <w:szCs w:val="1"/>
                <w:color w:val="auto"/>
              </w:rPr>
            </w:pPr>
          </w:p>
        </w:tc>
      </w:tr>
      <w:tr>
        <w:trPr>
          <w:trHeight w:val="227"/>
        </w:trPr>
        <w:tc>
          <w:tcPr>
            <w:tcW w:w="396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9"/>
              </w:rPr>
              <w:t>Value Change</w:t>
            </w: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1,106.6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92.5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6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310.4</w:t>
            </w:r>
          </w:p>
        </w:tc>
        <w:tc>
          <w:tcPr>
            <w:tcW w:w="2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297.4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13.0</w:t>
            </w:r>
          </w:p>
        </w:tc>
        <w:tc>
          <w:tcPr>
            <w:tcW w:w="16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16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00"/>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1,424.7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1,317.9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106.8</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620" w:type="dxa"/>
            <w:vAlign w:val="bottom"/>
          </w:tcPr>
          <w:p>
            <w:pPr>
              <w:spacing w:after="0"/>
              <w:rPr>
                <w:sz w:val="14"/>
                <w:szCs w:val="14"/>
                <w:color w:val="auto"/>
              </w:rPr>
            </w:pPr>
          </w:p>
        </w:tc>
        <w:tc>
          <w:tcPr>
            <w:tcW w:w="116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20" w:type="dxa"/>
            <w:vAlign w:val="bottom"/>
          </w:tcPr>
          <w:p>
            <w:pPr>
              <w:spacing w:after="0"/>
              <w:rPr>
                <w:sz w:val="14"/>
                <w:szCs w:val="14"/>
                <w:color w:val="auto"/>
              </w:rPr>
            </w:pPr>
          </w:p>
        </w:tc>
        <w:tc>
          <w:tcPr>
            <w:tcW w:w="116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Pr>
          <w:p>
            <w:pPr>
              <w:spacing w:after="0"/>
              <w:rPr>
                <w:sz w:val="14"/>
                <w:szCs w:val="14"/>
                <w:color w:val="auto"/>
              </w:rPr>
            </w:pPr>
          </w:p>
        </w:tc>
        <w:tc>
          <w:tcPr>
            <w:tcW w:w="1300" w:type="dxa"/>
            <w:vAlign w:val="bottom"/>
          </w:tcPr>
          <w:p>
            <w:pPr>
              <w:jc w:val="right"/>
              <w:ind w:right="435"/>
              <w:spacing w:after="0" w:line="162" w:lineRule="exact"/>
              <w:rPr>
                <w:sz w:val="20"/>
                <w:szCs w:val="20"/>
                <w:color w:val="auto"/>
              </w:rPr>
            </w:pPr>
            <w:r>
              <w:rPr>
                <w:rFonts w:ascii="Times New Roman" w:cs="Times New Roman" w:eastAsia="Times New Roman" w:hAnsi="Times New Roman"/>
                <w:sz w:val="17"/>
                <w:szCs w:val="17"/>
                <w:b w:val="1"/>
                <w:bCs w:val="1"/>
                <w:color w:val="auto"/>
              </w:rPr>
              <w:t>Dollar</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Percentage Change</w:t>
            </w:r>
          </w:p>
        </w:tc>
        <w:tc>
          <w:tcPr>
            <w:tcW w:w="0" w:type="dxa"/>
            <w:vAlign w:val="bottom"/>
          </w:tcPr>
          <w:p>
            <w:pPr>
              <w:spacing w:after="0"/>
              <w:rPr>
                <w:sz w:val="1"/>
                <w:szCs w:val="1"/>
                <w:color w:val="auto"/>
              </w:rPr>
            </w:pPr>
          </w:p>
        </w:tc>
      </w:tr>
      <w:tr>
        <w:trPr>
          <w:trHeight w:val="228"/>
        </w:trPr>
        <w:tc>
          <w:tcPr>
            <w:tcW w:w="396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9"/>
              </w:rPr>
              <w:t>Value Change</w:t>
            </w: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1,930.6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1,782.9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147.7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6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516.4</w:t>
            </w:r>
          </w:p>
        </w:tc>
        <w:tc>
          <w:tcPr>
            <w:tcW w:w="2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518.4</w:t>
            </w:r>
          </w:p>
        </w:tc>
        <w:tc>
          <w:tcPr>
            <w:tcW w:w="22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6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14.0</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11.6</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2.4</w:t>
            </w:r>
          </w:p>
        </w:tc>
        <w:tc>
          <w:tcPr>
            <w:tcW w:w="16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2,461.0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2,312.9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148.1</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396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466.3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467.0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(0.7)</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EBIT (Loss) for our reportable business segments and Other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2080" w:type="dxa"/>
            <w:vAlign w:val="bottom"/>
          </w:tcPr>
          <w:p>
            <w:pPr>
              <w:spacing w:after="0"/>
              <w:rPr>
                <w:sz w:val="14"/>
                <w:szCs w:val="14"/>
                <w:color w:val="auto"/>
              </w:rPr>
            </w:pP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Pr>
          <w:p>
            <w:pPr>
              <w:spacing w:after="0"/>
              <w:rPr>
                <w:sz w:val="14"/>
                <w:szCs w:val="14"/>
                <w:color w:val="auto"/>
              </w:rPr>
            </w:pPr>
          </w:p>
        </w:tc>
        <w:tc>
          <w:tcPr>
            <w:tcW w:w="118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180" w:type="dxa"/>
            <w:vAlign w:val="bottom"/>
          </w:tcPr>
          <w:p>
            <w:pPr>
              <w:spacing w:after="0"/>
              <w:rPr>
                <w:sz w:val="14"/>
                <w:szCs w:val="14"/>
                <w:color w:val="auto"/>
              </w:rPr>
            </w:pPr>
          </w:p>
        </w:tc>
        <w:tc>
          <w:tcPr>
            <w:tcW w:w="1300" w:type="dxa"/>
            <w:vAlign w:val="bottom"/>
          </w:tcPr>
          <w:p>
            <w:pPr>
              <w:jc w:val="center"/>
              <w:ind w:right="115"/>
              <w:spacing w:after="0" w:line="163" w:lineRule="exact"/>
              <w:rPr>
                <w:sz w:val="20"/>
                <w:szCs w:val="20"/>
                <w:color w:val="auto"/>
              </w:rPr>
            </w:pPr>
            <w:r>
              <w:rPr>
                <w:rFonts w:ascii="Times New Roman" w:cs="Times New Roman" w:eastAsia="Times New Roman" w:hAnsi="Times New Roman"/>
                <w:sz w:val="17"/>
                <w:szCs w:val="17"/>
                <w:b w:val="1"/>
                <w:bCs w:val="1"/>
                <w:color w:val="auto"/>
                <w:w w:val="99"/>
              </w:rPr>
              <w:t>Dollar</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Percentage Change</w:t>
            </w:r>
          </w:p>
        </w:tc>
        <w:tc>
          <w:tcPr>
            <w:tcW w:w="0" w:type="dxa"/>
            <w:vAlign w:val="bottom"/>
          </w:tcPr>
          <w:p>
            <w:pPr>
              <w:spacing w:after="0"/>
              <w:rPr>
                <w:sz w:val="1"/>
                <w:szCs w:val="1"/>
                <w:color w:val="auto"/>
              </w:rPr>
            </w:pPr>
          </w:p>
        </w:tc>
      </w:tr>
      <w:tr>
        <w:trPr>
          <w:trHeight w:val="227"/>
        </w:trPr>
        <w:tc>
          <w:tcPr>
            <w:tcW w:w="352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9"/>
              </w:rPr>
              <w:t>Value Change</w:t>
            </w: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7"/>
                <w:szCs w:val="17"/>
                <w:color w:val="auto"/>
              </w:rPr>
              <w:t>22.3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11.0 %</w:t>
            </w: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208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30.3</w:t>
            </w:r>
          </w:p>
        </w:tc>
        <w:tc>
          <w:tcPr>
            <w:tcW w:w="2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center"/>
              <w:ind w:left="635"/>
              <w:spacing w:after="0"/>
              <w:rPr>
                <w:sz w:val="20"/>
                <w:szCs w:val="20"/>
                <w:color w:val="auto"/>
              </w:rPr>
            </w:pPr>
            <w:r>
              <w:rPr>
                <w:rFonts w:ascii="Times New Roman" w:cs="Times New Roman" w:eastAsia="Times New Roman" w:hAnsi="Times New Roman"/>
                <w:sz w:val="17"/>
                <w:szCs w:val="17"/>
                <w:color w:val="auto"/>
              </w:rPr>
              <w:t>14.2</w:t>
            </w:r>
          </w:p>
        </w:tc>
        <w:tc>
          <w:tcPr>
            <w:tcW w:w="16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88.2</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7"/>
                <w:szCs w:val="17"/>
                <w:color w:val="auto"/>
              </w:rPr>
              <w:t>(22.8)</w:t>
            </w:r>
          </w:p>
        </w:tc>
        <w:tc>
          <w:tcPr>
            <w:tcW w:w="16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(67.7)</w:t>
            </w:r>
          </w:p>
        </w:tc>
        <w:tc>
          <w:tcPr>
            <w:tcW w:w="0" w:type="dxa"/>
            <w:vAlign w:val="bottom"/>
          </w:tcPr>
          <w:p>
            <w:pPr>
              <w:spacing w:after="0"/>
              <w:rPr>
                <w:sz w:val="1"/>
                <w:szCs w:val="1"/>
                <w:color w:val="auto"/>
              </w:rPr>
            </w:pPr>
          </w:p>
        </w:tc>
      </w:tr>
      <w:tr>
        <w:trPr>
          <w:trHeight w:val="227"/>
        </w:trPr>
        <w:tc>
          <w:tcPr>
            <w:tcW w:w="3520" w:type="dxa"/>
            <w:vAlign w:val="bottom"/>
            <w:tcBorders>
              <w:bottom w:val="single" w:sz="8" w:color="auto"/>
            </w:tcBorders>
          </w:tcPr>
          <w:p>
            <w:pPr>
              <w:ind w:left="140"/>
              <w:spacing w:after="0" w:line="226" w:lineRule="exact"/>
              <w:rPr>
                <w:sz w:val="20"/>
                <w:szCs w:val="20"/>
                <w:color w:val="auto"/>
              </w:rPr>
            </w:pPr>
            <w:r>
              <w:rPr>
                <w:rFonts w:ascii="Times New Roman" w:cs="Times New Roman" w:eastAsia="Times New Roman" w:hAnsi="Times New Roman"/>
                <w:sz w:val="17"/>
                <w:szCs w:val="17"/>
                <w:color w:val="auto"/>
              </w:rPr>
              <w:t>Total segment EBIT</w:t>
            </w:r>
            <w:r>
              <w:rPr>
                <w:rFonts w:ascii="Times New Roman" w:cs="Times New Roman" w:eastAsia="Times New Roman" w:hAnsi="Times New Roman"/>
                <w:sz w:val="22"/>
                <w:szCs w:val="22"/>
                <w:color w:val="auto"/>
                <w:vertAlign w:val="superscript"/>
              </w:rPr>
              <w:t>1</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184.5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center"/>
              <w:ind w:left="635"/>
              <w:spacing w:after="0"/>
              <w:rPr>
                <w:sz w:val="20"/>
                <w:szCs w:val="20"/>
                <w:color w:val="auto"/>
              </w:rPr>
            </w:pPr>
            <w:r>
              <w:rPr>
                <w:rFonts w:ascii="Times New Roman" w:cs="Times New Roman" w:eastAsia="Times New Roman" w:hAnsi="Times New Roman"/>
                <w:sz w:val="17"/>
                <w:szCs w:val="17"/>
                <w:color w:val="auto"/>
              </w:rPr>
              <w:t>13.7</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2060" w:type="dxa"/>
            <w:vAlign w:val="bottom"/>
          </w:tcPr>
          <w:p>
            <w:pPr>
              <w:spacing w:after="0"/>
              <w:rPr>
                <w:sz w:val="14"/>
                <w:szCs w:val="14"/>
                <w:color w:val="auto"/>
              </w:rPr>
            </w:pPr>
          </w:p>
        </w:tc>
        <w:tc>
          <w:tcPr>
            <w:tcW w:w="118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00" w:type="dxa"/>
            <w:vAlign w:val="bottom"/>
          </w:tcPr>
          <w:p>
            <w:pPr>
              <w:spacing w:after="0"/>
              <w:rPr>
                <w:sz w:val="14"/>
                <w:szCs w:val="14"/>
                <w:color w:val="auto"/>
              </w:rPr>
            </w:pPr>
          </w:p>
        </w:tc>
        <w:tc>
          <w:tcPr>
            <w:tcW w:w="116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00" w:type="dxa"/>
            <w:vAlign w:val="bottom"/>
          </w:tcPr>
          <w:p>
            <w:pPr>
              <w:spacing w:after="0"/>
              <w:rPr>
                <w:sz w:val="14"/>
                <w:szCs w:val="14"/>
                <w:color w:val="auto"/>
              </w:rPr>
            </w:pPr>
          </w:p>
        </w:tc>
        <w:tc>
          <w:tcPr>
            <w:tcW w:w="1300" w:type="dxa"/>
            <w:vAlign w:val="bottom"/>
          </w:tcPr>
          <w:p>
            <w:pPr>
              <w:ind w:left="300"/>
              <w:spacing w:after="0" w:line="163" w:lineRule="exact"/>
              <w:rPr>
                <w:sz w:val="20"/>
                <w:szCs w:val="20"/>
                <w:color w:val="auto"/>
              </w:rPr>
            </w:pPr>
            <w:r>
              <w:rPr>
                <w:rFonts w:ascii="Times New Roman" w:cs="Times New Roman" w:eastAsia="Times New Roman" w:hAnsi="Times New Roman"/>
                <w:sz w:val="17"/>
                <w:szCs w:val="17"/>
                <w:b w:val="1"/>
                <w:bCs w:val="1"/>
                <w:color w:val="auto"/>
              </w:rPr>
              <w:t>Dollar</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Percentage Change</w:t>
            </w:r>
          </w:p>
        </w:tc>
        <w:tc>
          <w:tcPr>
            <w:tcW w:w="0" w:type="dxa"/>
            <w:vAlign w:val="bottom"/>
          </w:tcPr>
          <w:p>
            <w:pPr>
              <w:spacing w:after="0"/>
              <w:rPr>
                <w:sz w:val="1"/>
                <w:szCs w:val="1"/>
                <w:color w:val="auto"/>
              </w:rPr>
            </w:pPr>
          </w:p>
        </w:tc>
      </w:tr>
      <w:tr>
        <w:trPr>
          <w:trHeight w:val="227"/>
        </w:trPr>
        <w:tc>
          <w:tcPr>
            <w:tcW w:w="35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Value Change</w:t>
            </w: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362.0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32.7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0" w:type="dxa"/>
            <w:vAlign w:val="bottom"/>
          </w:tcPr>
          <w:p>
            <w:pPr>
              <w:spacing w:after="0"/>
              <w:rPr>
                <w:sz w:val="1"/>
                <w:szCs w:val="1"/>
                <w:color w:val="auto"/>
              </w:rPr>
            </w:pPr>
          </w:p>
        </w:tc>
      </w:tr>
      <w:tr>
        <w:trPr>
          <w:trHeight w:val="226"/>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20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43.5</w:t>
            </w:r>
          </w:p>
        </w:tc>
        <w:tc>
          <w:tcPr>
            <w:tcW w:w="2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33.3</w:t>
            </w:r>
          </w:p>
        </w:tc>
        <w:tc>
          <w:tcPr>
            <w:tcW w:w="200" w:type="dxa"/>
            <w:vAlign w:val="bottom"/>
          </w:tcPr>
          <w:p>
            <w:pPr>
              <w:spacing w:after="0"/>
              <w:rPr>
                <w:sz w:val="19"/>
                <w:szCs w:val="19"/>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10.2</w:t>
            </w:r>
          </w:p>
        </w:tc>
        <w:tc>
          <w:tcPr>
            <w:tcW w:w="16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30.6</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(9.2)</w:t>
            </w:r>
          </w:p>
        </w:tc>
        <w:tc>
          <w:tcPr>
            <w:tcW w:w="16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7"/>
        </w:trPr>
        <w:tc>
          <w:tcPr>
            <w:tcW w:w="3540" w:type="dxa"/>
            <w:vAlign w:val="bottom"/>
            <w:tcBorders>
              <w:bottom w:val="single" w:sz="8" w:color="auto"/>
            </w:tcBorders>
          </w:tcPr>
          <w:p>
            <w:pPr>
              <w:ind w:left="140"/>
              <w:spacing w:after="0" w:line="226" w:lineRule="exact"/>
              <w:rPr>
                <w:sz w:val="20"/>
                <w:szCs w:val="20"/>
                <w:color w:val="auto"/>
              </w:rPr>
            </w:pPr>
            <w:r>
              <w:rPr>
                <w:rFonts w:ascii="Times New Roman" w:cs="Times New Roman" w:eastAsia="Times New Roman" w:hAnsi="Times New Roman"/>
                <w:sz w:val="17"/>
                <w:szCs w:val="17"/>
                <w:color w:val="auto"/>
              </w:rPr>
              <w:t>Total segment EBIT</w:t>
            </w:r>
            <w:r>
              <w:rPr>
                <w:rFonts w:ascii="Times New Roman" w:cs="Times New Roman" w:eastAsia="Times New Roman" w:hAnsi="Times New Roman"/>
                <w:sz w:val="22"/>
                <w:szCs w:val="22"/>
                <w:color w:val="auto"/>
                <w:vertAlign w:val="superscript"/>
              </w:rPr>
              <w:t>1</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299.3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33.7</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00" w:hanging="92"/>
        <w:spacing w:after="0"/>
        <w:tabs>
          <w:tab w:leader="none" w:pos="1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Presentation of EBIT (Loss) for the second quarter of fiscal 2025 has been conformed to the current year presentation.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Worldwide net sales for our Professional segment for the second quarter of fiscal 2026 increased 9.1 percent compared to the second quarter of fiscal 2025. This increase was driven primarily by net price realization, the Tornado acquisition, and higher shipments of underground construction equipment and zero-turn mowers. Worldwide net sales for our Professional segment for the year-to-date period of fiscal 2026 increased 8.3 percent compared to the same period of fiscal 2025. This increase was driven primarily by net price realization, the Tornado acquisition and higher shipments of underground construction equipment, zero-turn mowers, and snow and ice management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EBIT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 segment EBIT for the second quarter of fiscal 2026 increased 11.0 percent compared to the second quarter of fiscal 2025, and Professional segment earnings margin increased to 20.3 percent from 19.9 percent in the second quarter of fiscal 2025. The increase in Professional segment earnings margin was primarily due to net price realization, productivity improvements, and net sales leverage, partially offset by product mix and higher material, manufacturing, and freight costs. Professional segment EBIT for the year-to-date period of fiscal 2026 increased 9.9 percent compared to the same period of fiscal 2025, and Professional segment margin increased to 18.8 percent from 18.5 percent for the year-to-date period of fiscal 2025. The increase in Professional segment earnings margin was primarily due to net price realization, productivity improvements, and net sales leverage, partially offset by product mix and higher material, manufacturing, and freight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Worldwide net sales for our Residential segment for the second quarter of fiscal 2026 increased 4.4 percent compared to the second quarter of fiscal 2025. The increase in Residential segment net sales was primarily driven by net price realization and higher shipments of zero-turn mowers, partially offset by lower shipments of snow products. Worldwide net sales for our Residential segment for the year-to-date period of fiscal 2026 decreased (0.4) percent compared to the same period of fiscal 2025. The decrease in Residential segment net sales was primarily driven by lower shipments of turf products, partially offset by higher shipments of snow products and net price realization.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EBIT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Residential segment EBIT for the second quarter of fiscal 2026 increased 88.2 percent compared to the second quarter of fiscal 2025, and Residential segment earnings margin increased to 9.8 percent from 5.4 percent in the second quarter of fiscal 2025. The increase in Residential segment earnings margin for the second quarter of fiscal 2026 was largely driven by net price realization, productivity improvements, prior year inventory valuation adjustments that did not recur, cost savings measures, and net sales leverage, partially offset by higher material, manufacturing, and freight costs. Residential segment EBIT for the year-to-date period of fiscal 2026 increased 30.6 percent compared to the same period of fiscal 2025, and Residential segment earnings margin increased to 8.4 percent from 6.4 percent in the year-to-date period of fiscal 2025. The increase in Residential segment earnings margin for the year-to-date period of fiscal 2026 was largely driven by net price realization, productivity improvements, cost savings measures, and product mix, partially offset by higher material, manufacturing, and freight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our Other activities includes sales from our wholly-owned domestic distribution company net of intersegment sales from the Professional and Residential segments to the distribution company. Net sales for our Other activities in the second quarter of fiscal 2026 increased by $1.3 million compared to the second quarter of fiscal 2025. Net sales for our Other activities in the year-to-date period of fiscal 2026 increased by $2.4 million compared to the same period in fiscal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EBIT (loss)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loss for our Other activities for the second quarter of fiscal 2026 increased $22.8 million compared to the second quarter of fiscal 2025, primarily due to higher corporate expenses, higher productivity initiative charges, and lower other income, partially offset by lower interest expense. The operating loss of our Other Activities for the year-to-date period of fiscal 2026 increased $9.2 million compared to same period in fiscal 2025, primarily due to higher corporate expenses and lower other income, partially offset by lower interest expense and lower productivity initiative charges.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second quarter of fiscal 2026 decreased $27.4 million, or 4.5 percent, compared to the end of the second quarter of fiscal 2025, primarily driven by timing of shipments. Inventory levels were down $196.4 million, or 17.5 percent, as of the second quarter of fiscal 2026 compared to the second quarter of fiscal 2025, primarily driven by lower finished goods balances, primarily related to strong early spring season demand for landscape equipment by both homeowners and contractors. Accounts payable increased $35.8 million, or 6.9 percent, as of the end of the second quarter of fiscal 2026 compared to the end of the second quarter of fiscal 2025, primarily due to higher purchases.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first six months of fiscal 2026 was $293.5 million compared to $123.1 million for the first six months of fiscal 2025. This change was primarily due to net favorable fluctuations in working capital and higher net earnings.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first six months of fiscal 2026 was $226.7 million compared to $42.4 million for the first six months of fiscal 2025. This change was primarily due to the Tornado Infrastructure Equipment acquisition in the current year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first six months of fiscal 2026 was $232.4 million compared to $104.9 million for the first six months of fiscal 2025, primarily due to higher common stock repurchases and net lower debt borrowings, partially offset by higher proceeds from the exercise of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May 1, 2026, we had available liquidity of $983.3 million, consisting of cash and cash equivalents of $180.4 million, of which $144.7 million was held by our foreign subsidiaries, and availability under our revolving credit facility of $802.9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debt arrangements are described in further detail in our Annual Report on Form 10-K for the fiscal year ended October 31, 2025. The following is a summary of our indebtedness: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5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 due October 2029</w:t>
            </w:r>
          </w:p>
        </w:tc>
        <w:tc>
          <w:tcPr>
            <w:tcW w:w="15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95.0</w:t>
            </w:r>
          </w:p>
        </w:tc>
        <w:tc>
          <w:tcPr>
            <w:tcW w:w="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due October 2029</w:t>
            </w:r>
          </w:p>
        </w:tc>
        <w:tc>
          <w:tcPr>
            <w:tcW w:w="15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due April 2027</w:t>
            </w:r>
          </w:p>
        </w:tc>
        <w:tc>
          <w:tcPr>
            <w:tcW w:w="15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3.81% series A senior notes, due June 2029</w:t>
            </w:r>
          </w:p>
        </w:tc>
        <w:tc>
          <w:tcPr>
            <w:tcW w:w="15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3.91% series B senior notes, due June 2031</w:t>
            </w:r>
          </w:p>
        </w:tc>
        <w:tc>
          <w:tcPr>
            <w:tcW w:w="15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3.97% senior notes, due June 2032</w:t>
            </w:r>
          </w:p>
        </w:tc>
        <w:tc>
          <w:tcPr>
            <w:tcW w:w="15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5.27% senior notes, due September 2032</w:t>
            </w:r>
          </w:p>
        </w:tc>
        <w:tc>
          <w:tcPr>
            <w:tcW w:w="15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200.0</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26"/>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7.8% debentures, due June 2027</w:t>
            </w:r>
          </w:p>
        </w:tc>
        <w:tc>
          <w:tcPr>
            <w:tcW w:w="15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6.625% senior notes, due May 2037</w:t>
            </w:r>
          </w:p>
        </w:tc>
        <w:tc>
          <w:tcPr>
            <w:tcW w:w="15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124.3</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124.3</w:t>
            </w: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r>
      <w:tr>
        <w:trPr>
          <w:trHeight w:val="22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1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7"/>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debt</w:t>
            </w:r>
          </w:p>
        </w:tc>
        <w:tc>
          <w:tcPr>
            <w:tcW w:w="1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1,016.8</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1,097.1</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w:t>
            </w:r>
          </w:p>
        </w:tc>
      </w:tr>
      <w:tr>
        <w:trPr>
          <w:trHeight w:val="22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current maturities and short-term borrowings</w:t>
            </w:r>
          </w:p>
        </w:tc>
        <w:tc>
          <w:tcPr>
            <w:tcW w:w="1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5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1,016.8</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seek to refinance existing debt and incur additional indebtedness depending on our capital requirements and the availability and cost of financing.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2026, we had $95.0 million outstanding borrowings under our revolving credit facility and $2.1 million outstanding under the sublimit for standby letters of credit, which resulted in $802.9 million of unutilized availability under our revolving credit facility's $900 million borrowing capacity.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 compliance with our debt covenants and other requirements of our revolving credit facility and term loan credit agreements, indentures, and private placement note purchase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approved a cash dividend of $0.39 per share for the second quarter of fiscal 2026 that was paid on April 13, 2026. This was an increase of 2.6 percent over our cash dividend of $0.38 per share for the second quarter of fiscal 2025. We expect to continue paying our quarterly cash dividend to stockholders for the remainder of fiscal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six months of fiscal 2026, we repurchased 3,125,254 shares of our common stock under our stock repurchase program, thereby reducing our total shares of common stock outstanding. As of May 1, 2026, 7,266,536 shares of common stock remained available for repurchase under our stock repurchase program. We expect to continue to repurchase shares of our common stock throughout the remainder of fiscal 2026, depending on our cash balance, debt repayments, market conditions, our anticipated working capital needs, the price of our common stock, investment priorities, and/or other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customer financing arrangements are described in further detail in our Annual Report on Form 10-K for the fiscal year ended October 31, 2025. There have been no material changes to our customer financing arrangements during the first six months of fiscal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Financing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 with Red Iron for the six month periods ended May 1, 2026 and May 2, 2025 were $1,387.7 million and $1,346.5 million, respectively. The total amount of net receivables outstanding under the arrangement with Red Iron as of May 1, 2026, May 2, 2025 and October 31, 2025 were $902.5 million, $1,021.2 million and $807.6 million, respectively. The total amount of receivables due from Red Iron to us as of May 1, 2026, May 2, 2025 and October 31, 2025 were $32.3 million, $19.3 million and $21.6 million,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amount of receivables financed for dealers and distributors under the arrangements with HCFC and the other third-party financial institutions for the six month periods ended May 1, 2026 and May 2, 2025 were $348.3 million and $319.2 million, respectively. The total amount of net receivables outstanding under the arrangements with HCFC and the other third-party financial institutions as of May 1, 2026, May 2, 2025, and October 31, 2025 were $292.1 million, $253.5 million, and $308.3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Repurchase Agreements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May 1, 2026, May 2, 2025, and October 31, 2025, we were contingently liable to repurchase up to a maximum amount of $29.8 million, $28.9 million, and $29.0 million, respectively, of inventory related to receivables under these inventory repurchase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six months ended May 1, 2026 and May 2, 2025.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report to the most directly comparable measures calculated and reported in accordance with U.S. GAAP for the three and six month periods ended May 1, 2026 and May 2,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8"/>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May 2, 2025</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482.7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436.7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819.2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772.3</w:t>
            </w:r>
          </w:p>
        </w:tc>
      </w:tr>
      <w:tr>
        <w:trPr>
          <w:trHeight w:val="229"/>
        </w:trPr>
        <w:tc>
          <w:tcPr>
            <w:tcW w:w="426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3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42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2"/>
                <w:szCs w:val="22"/>
                <w:color w:val="auto"/>
                <w:vertAlign w:val="superscript"/>
              </w:rPr>
              <w:t>2</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3.7</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15.4</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492.1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440.4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838.7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779.8</w:t>
            </w:r>
          </w:p>
        </w:tc>
      </w:tr>
      <w:tr>
        <w:trPr>
          <w:trHeight w:val="78"/>
        </w:trPr>
        <w:tc>
          <w:tcPr>
            <w:tcW w:w="426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33.4 %</w:t>
            </w:r>
          </w:p>
        </w:tc>
      </w:tr>
      <w:tr>
        <w:trPr>
          <w:trHeight w:val="233"/>
        </w:trPr>
        <w:tc>
          <w:tcPr>
            <w:tcW w:w="426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9"/>
        </w:trPr>
        <w:tc>
          <w:tcPr>
            <w:tcW w:w="426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2"/>
                <w:szCs w:val="22"/>
                <w:color w:val="auto"/>
                <w:vertAlign w:val="superscript"/>
              </w:rPr>
              <w:t>2</w:t>
            </w: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19"/>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margin</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34.5 %</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34.1 %</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33.7 %</w:t>
            </w:r>
          </w:p>
        </w:tc>
      </w:tr>
      <w:tr>
        <w:trPr>
          <w:trHeight w:val="78"/>
        </w:trPr>
        <w:tc>
          <w:tcPr>
            <w:tcW w:w="4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195.0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174.8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282.1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252.6</w:t>
            </w:r>
          </w:p>
        </w:tc>
      </w:tr>
      <w:tr>
        <w:trPr>
          <w:trHeight w:val="229"/>
        </w:trPr>
        <w:tc>
          <w:tcPr>
            <w:tcW w:w="426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3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42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2"/>
                <w:szCs w:val="22"/>
                <w:color w:val="auto"/>
                <w:vertAlign w:val="superscript"/>
              </w:rPr>
              <w:t>2</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7.3</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21.8</w:t>
            </w:r>
          </w:p>
        </w:tc>
      </w:tr>
      <w:tr>
        <w:trPr>
          <w:trHeight w:val="21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205.8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180.4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307.5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274.4</w:t>
            </w:r>
          </w:p>
        </w:tc>
      </w:tr>
      <w:tr>
        <w:trPr>
          <w:trHeight w:val="78"/>
        </w:trPr>
        <w:tc>
          <w:tcPr>
            <w:tcW w:w="426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1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10.9 %</w:t>
            </w:r>
          </w:p>
        </w:tc>
      </w:tr>
      <w:tr>
        <w:trPr>
          <w:trHeight w:val="233"/>
        </w:trPr>
        <w:tc>
          <w:tcPr>
            <w:tcW w:w="426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0"/>
        </w:trPr>
        <w:tc>
          <w:tcPr>
            <w:tcW w:w="426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2"/>
                <w:szCs w:val="22"/>
                <w:color w:val="auto"/>
                <w:vertAlign w:val="superscript"/>
              </w:rPr>
              <w:t>2</w:t>
            </w: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19"/>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14.4 %</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12.5 %</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11.9 %</w:t>
            </w:r>
          </w:p>
        </w:tc>
      </w:tr>
      <w:tr>
        <w:trPr>
          <w:trHeight w:val="78"/>
        </w:trPr>
        <w:tc>
          <w:tcPr>
            <w:tcW w:w="4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183.4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168.7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270.3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234.8</w:t>
            </w:r>
          </w:p>
        </w:tc>
      </w:tr>
      <w:tr>
        <w:trPr>
          <w:trHeight w:val="230"/>
        </w:trPr>
        <w:tc>
          <w:tcPr>
            <w:tcW w:w="426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3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42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2"/>
                <w:szCs w:val="22"/>
                <w:color w:val="auto"/>
                <w:vertAlign w:val="superscript"/>
              </w:rPr>
              <w:t>2</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11.5</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5.7</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14.9</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22.2</w:t>
            </w:r>
          </w:p>
        </w:tc>
      </w:tr>
      <w:tr>
        <w:trPr>
          <w:trHeight w:val="21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198.4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174.4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290.9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257.0</w:t>
            </w:r>
          </w:p>
        </w:tc>
      </w:tr>
      <w:tr>
        <w:trPr>
          <w:trHeight w:val="78"/>
        </w:trPr>
        <w:tc>
          <w:tcPr>
            <w:tcW w:w="426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38.0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31.9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57.0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45.2</w:t>
            </w:r>
          </w:p>
        </w:tc>
      </w:tr>
      <w:tr>
        <w:trPr>
          <w:trHeight w:val="233"/>
        </w:trPr>
        <w:tc>
          <w:tcPr>
            <w:tcW w:w="426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426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2"/>
                <w:szCs w:val="22"/>
                <w:color w:val="auto"/>
                <w:vertAlign w:val="superscript"/>
              </w:rPr>
              <w:t>2</w:t>
            </w:r>
          </w:p>
        </w:tc>
        <w:tc>
          <w:tcPr>
            <w:tcW w:w="13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0.9</w:t>
            </w: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4.2</w:t>
            </w:r>
          </w:p>
        </w:tc>
      </w:tr>
      <w:tr>
        <w:trPr>
          <w:trHeight w:val="230"/>
        </w:trPr>
        <w:tc>
          <w:tcPr>
            <w:tcW w:w="42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2"/>
                <w:szCs w:val="22"/>
                <w:color w:val="auto"/>
                <w:vertAlign w:val="superscript"/>
              </w:rPr>
              <w:t>3</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income tax provision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43.0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32.6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62.9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49.3</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
        </w:trPr>
        <w:tc>
          <w:tcPr>
            <w:tcW w:w="426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145.4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136.8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213.3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189.6</w:t>
            </w:r>
          </w:p>
        </w:tc>
      </w:tr>
      <w:tr>
        <w:trPr>
          <w:trHeight w:val="233"/>
        </w:trPr>
        <w:tc>
          <w:tcPr>
            <w:tcW w:w="426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Acquisition-related costs, net of tax</w:t>
            </w:r>
            <w:r>
              <w:rPr>
                <w:rFonts w:ascii="Times New Roman" w:cs="Times New Roman" w:eastAsia="Times New Roman" w:hAnsi="Times New Roman"/>
                <w:sz w:val="22"/>
                <w:szCs w:val="22"/>
                <w:color w:val="auto"/>
                <w:vertAlign w:val="superscript"/>
              </w:rPr>
              <w:t>1</w:t>
            </w: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2.8</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4.5</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426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 net of tax</w:t>
            </w:r>
            <w:r>
              <w:rPr>
                <w:rFonts w:ascii="Times New Roman" w:cs="Times New Roman" w:eastAsia="Times New Roman" w:hAnsi="Times New Roman"/>
                <w:sz w:val="22"/>
                <w:szCs w:val="22"/>
                <w:color w:val="auto"/>
                <w:vertAlign w:val="superscript"/>
              </w:rPr>
              <w:t>2</w:t>
            </w:r>
          </w:p>
        </w:tc>
        <w:tc>
          <w:tcPr>
            <w:tcW w:w="13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9.0</w:t>
            </w:r>
          </w:p>
        </w:tc>
        <w:tc>
          <w:tcPr>
            <w:tcW w:w="2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11.7</w:t>
            </w:r>
          </w:p>
        </w:tc>
        <w:tc>
          <w:tcPr>
            <w:tcW w:w="2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18.0</w:t>
            </w:r>
          </w:p>
        </w:tc>
      </w:tr>
      <w:tr>
        <w:trPr>
          <w:trHeight w:val="229"/>
        </w:trPr>
        <w:tc>
          <w:tcPr>
            <w:tcW w:w="42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2"/>
                <w:szCs w:val="22"/>
                <w:color w:val="auto"/>
                <w:vertAlign w:val="superscript"/>
              </w:rPr>
              <w:t>3</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155.4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141.8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228.0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207.7</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
        </w:trPr>
        <w:tc>
          <w:tcPr>
            <w:tcW w:w="426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per diluted share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1.50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1.37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2.18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1.88</w:t>
            </w:r>
          </w:p>
        </w:tc>
      </w:tr>
      <w:tr>
        <w:trPr>
          <w:trHeight w:val="233"/>
        </w:trPr>
        <w:tc>
          <w:tcPr>
            <w:tcW w:w="426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Acquisition-related costs, net of tax</w:t>
            </w:r>
            <w:r>
              <w:rPr>
                <w:rFonts w:ascii="Times New Roman" w:cs="Times New Roman" w:eastAsia="Times New Roman" w:hAnsi="Times New Roman"/>
                <w:sz w:val="22"/>
                <w:szCs w:val="22"/>
                <w:color w:val="auto"/>
                <w:vertAlign w:val="superscript"/>
              </w:rPr>
              <w:t>1</w:t>
            </w: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0.03</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0.05</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4260" w:type="dxa"/>
            <w:vAlign w:val="bottom"/>
          </w:tcPr>
          <w:p>
            <w:pPr>
              <w:ind w:left="140"/>
              <w:spacing w:after="0" w:line="229" w:lineRule="exact"/>
              <w:rPr>
                <w:sz w:val="20"/>
                <w:szCs w:val="20"/>
                <w:color w:val="auto"/>
              </w:rPr>
            </w:pPr>
            <w:r>
              <w:rPr>
                <w:rFonts w:ascii="Times New Roman" w:cs="Times New Roman" w:eastAsia="Times New Roman" w:hAnsi="Times New Roman"/>
                <w:sz w:val="17"/>
                <w:szCs w:val="17"/>
                <w:color w:val="auto"/>
              </w:rPr>
              <w:t>Productivity initiative, net of tax</w:t>
            </w:r>
            <w:r>
              <w:rPr>
                <w:rFonts w:ascii="Times New Roman" w:cs="Times New Roman" w:eastAsia="Times New Roman" w:hAnsi="Times New Roman"/>
                <w:sz w:val="22"/>
                <w:szCs w:val="22"/>
                <w:color w:val="auto"/>
                <w:vertAlign w:val="superscript"/>
              </w:rPr>
              <w:t>2</w:t>
            </w:r>
          </w:p>
        </w:tc>
        <w:tc>
          <w:tcPr>
            <w:tcW w:w="13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0.09</w:t>
            </w:r>
          </w:p>
        </w:tc>
        <w:tc>
          <w:tcPr>
            <w:tcW w:w="22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0.05</w:t>
            </w:r>
          </w:p>
        </w:tc>
        <w:tc>
          <w:tcPr>
            <w:tcW w:w="22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0.12</w:t>
            </w:r>
          </w:p>
        </w:tc>
        <w:tc>
          <w:tcPr>
            <w:tcW w:w="22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0.18</w:t>
            </w:r>
          </w:p>
        </w:tc>
      </w:tr>
      <w:tr>
        <w:trPr>
          <w:trHeight w:val="230"/>
        </w:trPr>
        <w:tc>
          <w:tcPr>
            <w:tcW w:w="426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2"/>
                <w:szCs w:val="22"/>
                <w:color w:val="auto"/>
                <w:vertAlign w:val="superscript"/>
              </w:rPr>
              <w:t>3</w:t>
            </w:r>
          </w:p>
        </w:tc>
        <w:tc>
          <w:tcPr>
            <w:tcW w:w="1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(0.02)</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net earnings per diluted share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1.60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2.06</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
        </w:trPr>
        <w:tc>
          <w:tcPr>
            <w:tcW w:w="426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r>
      <w:tr>
        <w:trPr>
          <w:trHeight w:val="21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21.1 %</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19.3 %</w:t>
            </w:r>
          </w:p>
        </w:tc>
      </w:tr>
      <w:tr>
        <w:trPr>
          <w:trHeight w:val="233"/>
        </w:trPr>
        <w:tc>
          <w:tcPr>
            <w:tcW w:w="426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2"/>
                <w:szCs w:val="22"/>
                <w:color w:val="auto"/>
                <w:vertAlign w:val="superscript"/>
              </w:rPr>
              <w:t>1</w:t>
            </w: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0"/>
        </w:trPr>
        <w:tc>
          <w:tcPr>
            <w:tcW w:w="426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2"/>
                <w:szCs w:val="22"/>
                <w:color w:val="auto"/>
                <w:vertAlign w:val="superscript"/>
              </w:rPr>
              <w:t>3</w:t>
            </w: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44"/>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1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21.7 %</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21.6 %</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19.2 %</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260" w:hanging="171"/>
        <w:spacing w:after="0" w:line="243" w:lineRule="auto"/>
        <w:tabs>
          <w:tab w:leader="none" w:pos="26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On December 8, 2025, we completed the acquisition of Tornado Infrastructure Equipment. For additional information regarding this acquisition, refer to Note 2, </w:t>
      </w:r>
      <w:r>
        <w:rPr>
          <w:rFonts w:ascii="Times New Roman" w:cs="Times New Roman" w:eastAsia="Times New Roman" w:hAnsi="Times New Roman"/>
          <w:sz w:val="15"/>
          <w:szCs w:val="15"/>
          <w:i w:val="1"/>
          <w:iCs w:val="1"/>
          <w:color w:val="auto"/>
        </w:rPr>
        <w:t>Acquisitions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Divestitures</w:t>
      </w:r>
      <w:r>
        <w:rPr>
          <w:rFonts w:ascii="Times New Roman" w:cs="Times New Roman" w:eastAsia="Times New Roman" w:hAnsi="Times New Roman"/>
          <w:sz w:val="15"/>
          <w:szCs w:val="15"/>
          <w:color w:val="auto"/>
        </w:rPr>
        <w:t>, within the Notes to Condensed Consolidated Financial Statements included within Part I, Item 1, "Financial Statements" of this Quarterly Report on Form 10-Q.</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Acquisition-related costs for the three and six month periods ended May 1, 2026 represent integration costs and amortization of the backlog intangible asset resulting from purchase accounting adjustments.</w:t>
      </w:r>
    </w:p>
    <w:p>
      <w:pPr>
        <w:spacing w:after="0" w:line="84" w:lineRule="exact"/>
        <w:rPr>
          <w:sz w:val="20"/>
          <w:szCs w:val="20"/>
          <w:color w:val="auto"/>
        </w:rPr>
      </w:pPr>
    </w:p>
    <w:p>
      <w:pPr>
        <w:jc w:val="both"/>
        <w:ind w:left="260" w:hanging="171"/>
        <w:spacing w:after="0" w:line="238" w:lineRule="auto"/>
        <w:tabs>
          <w:tab w:leader="none" w:pos="328"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and six month periods ended May 1, 2026 and May 2, 2025 primarily represent facility exit-related costs and gains, severance and termination benefits, compensation for fully-dedicated AMP personnel, third-party consulting costs, and product-line exit costs.</w:t>
      </w:r>
    </w:p>
    <w:p>
      <w:pPr>
        <w:spacing w:after="0" w:line="87" w:lineRule="exact"/>
        <w:rPr>
          <w:sz w:val="20"/>
          <w:szCs w:val="20"/>
          <w:color w:val="auto"/>
        </w:rPr>
      </w:pPr>
    </w:p>
    <w:p>
      <w:pPr>
        <w:jc w:val="both"/>
        <w:ind w:left="260" w:hanging="171"/>
        <w:spacing w:after="0" w:line="232" w:lineRule="auto"/>
        <w:tabs>
          <w:tab w:leader="none" w:pos="274"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1, 2026 and May 2,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free cash flow as net cash provided by operating activities less purchases of property, plant, and equipment.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stockholder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six month periods ended May 1, 2026 and May 2, 2025:</w:t>
      </w:r>
    </w:p>
    <w:p>
      <w:pPr>
        <w:spacing w:after="0" w:line="11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23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May 1, 2026</w:t>
            </w:r>
          </w:p>
        </w:tc>
        <w:tc>
          <w:tcPr>
            <w:tcW w:w="3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May 2, 2025</w:t>
            </w: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293.5</w:t>
            </w:r>
          </w:p>
        </w:tc>
        <w:tc>
          <w:tcPr>
            <w:tcW w:w="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123.1</w:t>
            </w:r>
          </w:p>
        </w:tc>
      </w:tr>
      <w:tr>
        <w:trPr>
          <w:trHeight w:val="226"/>
        </w:trPr>
        <w:tc>
          <w:tcPr>
            <w:tcW w:w="5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w:t>
            </w:r>
          </w:p>
        </w:tc>
        <w:tc>
          <w:tcPr>
            <w:tcW w:w="2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28.0</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38.4</w:t>
            </w:r>
          </w:p>
        </w:tc>
      </w:tr>
      <w:tr>
        <w:trPr>
          <w:trHeight w:val="227"/>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2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265.5</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84.7</w:t>
            </w:r>
          </w:p>
        </w:tc>
      </w:tr>
      <w:tr>
        <w:trPr>
          <w:trHeight w:val="226"/>
        </w:trPr>
        <w:tc>
          <w:tcPr>
            <w:tcW w:w="5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213.3</w:t>
            </w:r>
          </w:p>
        </w:tc>
        <w:tc>
          <w:tcPr>
            <w:tcW w:w="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189.6</w:t>
            </w:r>
          </w:p>
        </w:tc>
      </w:tr>
      <w:tr>
        <w:trPr>
          <w:trHeight w:val="248"/>
        </w:trPr>
        <w:tc>
          <w:tcPr>
            <w:tcW w:w="5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23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124.5 %</w:t>
            </w:r>
          </w:p>
        </w:tc>
        <w:tc>
          <w:tcPr>
            <w:tcW w:w="3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44.7 %</w:t>
            </w: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critical accounting policies and estimates since our Annual Report on Form 10-K for the fiscal year ended October 31, 2025. Refer to Part II, Item 7, "Management’s Discussion and Analysis of Financial Condition and Results of Operations", and Part II, Item 8,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within our Annual Report on Form 10-K for the fiscal year ended October 31, 2025 for a discussion of our critical accounting policies and estimates.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2025. Refer to Part II, Item 7A, "Quantitative and Qualitative Disclosures about Market Risk", within our Annual Report on Form 10-K for the fiscal year ended October 31, 2025 for a complete discussion of our market risk. Refer below for further discussion on foreign currency exchange rate risk, interest rate risk, and commodity cost risk.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16,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in our Notes to Condensed Consolidated Financial Statements included in Part I, Item 1 of this Quarterly Report on Form 10-Q.</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foreign currency exchange contracts in the table below have maturity dates in fiscal 2026 through fiscal 2028. All items are non-trading and stated in U.S. dollars. As of May 1, 2026, the average contracted rate, notional amount, fair value, and the gain (loss) at fair value of outstanding derivative instruments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average contracted rate)</w:t>
            </w:r>
          </w:p>
        </w:tc>
        <w:tc>
          <w:tcPr>
            <w:tcW w:w="2280" w:type="dxa"/>
            <w:vAlign w:val="bottom"/>
            <w:tcBorders>
              <w:top w:val="single" w:sz="8" w:color="auto"/>
            </w:tcBorders>
          </w:tcPr>
          <w:p>
            <w:pPr>
              <w:jc w:val="right"/>
              <w:ind w:right="295"/>
              <w:spacing w:after="0" w:line="176"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4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Notional Amount</w:t>
            </w: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55"/>
              <w:spacing w:after="0" w:line="176" w:lineRule="exact"/>
              <w:rPr>
                <w:sz w:val="20"/>
                <w:szCs w:val="20"/>
                <w:color w:val="auto"/>
              </w:rPr>
            </w:pPr>
            <w:r>
              <w:rPr>
                <w:rFonts w:ascii="Times New Roman" w:cs="Times New Roman" w:eastAsia="Times New Roman" w:hAnsi="Times New Roman"/>
                <w:sz w:val="17"/>
                <w:szCs w:val="17"/>
                <w:b w:val="1"/>
                <w:bCs w:val="1"/>
                <w:color w:val="auto"/>
              </w:rPr>
              <w:t>Gain (Loss) at</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Contracted Rate</w:t>
            </w:r>
          </w:p>
        </w:tc>
        <w:tc>
          <w:tcPr>
            <w:tcW w:w="142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 U.S. dollar/Sell Australian dollar</w:t>
            </w:r>
          </w:p>
        </w:tc>
        <w:tc>
          <w:tcPr>
            <w:tcW w:w="2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0.6625</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94.7</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 U.S. dollar/Sell Canadian dollar</w:t>
            </w:r>
          </w:p>
        </w:tc>
        <w:tc>
          <w:tcPr>
            <w:tcW w:w="2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1.3599</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50.4</w:t>
            </w:r>
          </w:p>
        </w:tc>
        <w:tc>
          <w:tcPr>
            <w:tcW w:w="2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50.2</w:t>
            </w:r>
          </w:p>
        </w:tc>
        <w:tc>
          <w:tcPr>
            <w:tcW w:w="200" w:type="dxa"/>
            <w:vAlign w:val="bottom"/>
          </w:tcPr>
          <w:p>
            <w:pPr>
              <w:spacing w:after="0"/>
              <w:rPr>
                <w:sz w:val="19"/>
                <w:szCs w:val="19"/>
                <w:color w:val="auto"/>
              </w:rPr>
            </w:pPr>
          </w:p>
        </w:tc>
        <w:tc>
          <w:tcPr>
            <w:tcW w:w="1180" w:type="dxa"/>
            <w:vAlign w:val="bottom"/>
          </w:tcPr>
          <w:p>
            <w:pPr>
              <w:jc w:val="center"/>
              <w:ind w:left="715"/>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 U.S. dollar/Sell Euro</w:t>
            </w:r>
          </w:p>
        </w:tc>
        <w:tc>
          <w:tcPr>
            <w:tcW w:w="2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1.1630</w:t>
            </w: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225.8</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222.3</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 U.S. dollar/Sell British pound</w:t>
            </w:r>
          </w:p>
        </w:tc>
        <w:tc>
          <w:tcPr>
            <w:tcW w:w="2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1.3164</w:t>
            </w:r>
          </w:p>
        </w:tc>
        <w:tc>
          <w:tcPr>
            <w:tcW w:w="5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68.7</w:t>
            </w:r>
          </w:p>
        </w:tc>
        <w:tc>
          <w:tcPr>
            <w:tcW w:w="2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67.4</w:t>
            </w:r>
          </w:p>
        </w:tc>
        <w:tc>
          <w:tcPr>
            <w:tcW w:w="200" w:type="dxa"/>
            <w:vAlign w:val="bottom"/>
          </w:tcPr>
          <w:p>
            <w:pPr>
              <w:spacing w:after="0"/>
              <w:rPr>
                <w:sz w:val="19"/>
                <w:szCs w:val="19"/>
                <w:color w:val="auto"/>
              </w:rPr>
            </w:pPr>
          </w:p>
        </w:tc>
        <w:tc>
          <w:tcPr>
            <w:tcW w:w="1180" w:type="dxa"/>
            <w:vAlign w:val="bottom"/>
          </w:tcPr>
          <w:p>
            <w:pPr>
              <w:jc w:val="center"/>
              <w:ind w:left="715"/>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 Mexican peso/Sell U.S. dollar</w:t>
            </w:r>
          </w:p>
        </w:tc>
        <w:tc>
          <w:tcPr>
            <w:tcW w:w="2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20.0063</w:t>
            </w: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63.3</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May 1, 2026 includes $724.3 million of gross fixed-rate long-term debt that is not subject to variable interest rate fluctuations, $200.0 million of gross variable rate debt under our term loan credit agreements, and $95.0 million outstanding under our variable rate revolving credit facility.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supply; demand; inflation; deflation; changing prices; foreign currency fluctuations; tariffs; duties; trade regulatory actions; industry actions; the current conflict in the Middle East region;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evaluated, with the participation of our Chairman of the Board and Chief Executive Officer and our Vice President and Chief Financial Officer, the effectiveness of the design and operation of our disclosure controls and procedures as of the end of the period covered by this Quarterly Report on Form 10-Q. Based on that evaluation, our Chairman of the Board and Chief Executive Officer and our Vice President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and Chief Executive Officer and Vice President and Chief Financial Officer, as appropriate, to allow timely decisions regarding required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three month period ended May 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Notes to Condensed Consolidated Financial Statements under the heading "Litigation" included in Part I, Item 1 of this Quarterly Report on Form 10-Q, which is incorporated into this Part II, Item 1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the company's Board of Directors authorizes the repurchase of shares of the company's common stock in open-market or privately negotiated transactions under the company's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the company's common stock repurchased by the company during each of the three fiscal months in the company's second quarter ended May 1,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8"/>
              </w:rPr>
              <w:t>Total Number of Shares</w:t>
            </w:r>
          </w:p>
        </w:tc>
        <w:tc>
          <w:tcPr>
            <w:tcW w:w="17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Maximum Number of</w:t>
            </w: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vMerge w:val="restart"/>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92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(or Units)</w:t>
            </w:r>
          </w:p>
        </w:tc>
        <w:tc>
          <w:tcPr>
            <w:tcW w:w="17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Shares (or Units) that</w:t>
            </w:r>
          </w:p>
        </w:tc>
        <w:tc>
          <w:tcPr>
            <w:tcW w:w="0" w:type="dxa"/>
            <w:vAlign w:val="bottom"/>
          </w:tcPr>
          <w:p>
            <w:pPr>
              <w:spacing w:after="0"/>
              <w:rPr>
                <w:sz w:val="1"/>
                <w:szCs w:val="1"/>
                <w:color w:val="auto"/>
              </w:rPr>
            </w:pPr>
          </w:p>
        </w:tc>
      </w:tr>
      <w:tr>
        <w:trPr>
          <w:trHeight w:val="174"/>
        </w:trPr>
        <w:tc>
          <w:tcPr>
            <w:tcW w:w="3860" w:type="dxa"/>
            <w:vAlign w:val="bottom"/>
          </w:tcPr>
          <w:p>
            <w:pPr>
              <w:spacing w:after="0"/>
              <w:rPr>
                <w:sz w:val="15"/>
                <w:szCs w:val="15"/>
                <w:color w:val="auto"/>
              </w:rPr>
            </w:pPr>
          </w:p>
        </w:tc>
        <w:tc>
          <w:tcPr>
            <w:tcW w:w="2160" w:type="dxa"/>
            <w:vAlign w:val="bottom"/>
            <w:vMerge w:val="restart"/>
          </w:tcPr>
          <w:p>
            <w:pPr>
              <w:ind w:left="82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92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7"/>
              </w:rPr>
              <w:t>Repurchased As</w:t>
            </w:r>
          </w:p>
        </w:tc>
        <w:tc>
          <w:tcPr>
            <w:tcW w:w="178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7"/>
              </w:rPr>
              <w:t>May Yet Be</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center"/>
              <w:ind w:right="175"/>
              <w:spacing w:after="0" w:line="176" w:lineRule="exact"/>
              <w:rPr>
                <w:sz w:val="20"/>
                <w:szCs w:val="20"/>
                <w:color w:val="auto"/>
              </w:rPr>
            </w:pPr>
            <w:r>
              <w:rPr>
                <w:rFonts w:ascii="Times New Roman" w:cs="Times New Roman" w:eastAsia="Times New Roman" w:hAnsi="Times New Roman"/>
                <w:sz w:val="17"/>
                <w:szCs w:val="17"/>
                <w:b w:val="1"/>
                <w:bCs w:val="1"/>
                <w:color w:val="auto"/>
              </w:rPr>
              <w:t>Price Paid</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Part of Publicly</w:t>
            </w:r>
          </w:p>
        </w:tc>
        <w:tc>
          <w:tcPr>
            <w:tcW w:w="17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Repurchased Under</w:t>
            </w:r>
          </w:p>
        </w:tc>
        <w:tc>
          <w:tcPr>
            <w:tcW w:w="0" w:type="dxa"/>
            <w:vAlign w:val="bottom"/>
          </w:tcPr>
          <w:p>
            <w:pPr>
              <w:spacing w:after="0"/>
              <w:rPr>
                <w:sz w:val="1"/>
                <w:szCs w:val="1"/>
                <w:color w:val="auto"/>
              </w:rPr>
            </w:pPr>
          </w:p>
        </w:tc>
      </w:tr>
      <w:tr>
        <w:trPr>
          <w:trHeight w:val="16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160" w:type="dxa"/>
            <w:vAlign w:val="bottom"/>
          </w:tcPr>
          <w:p>
            <w:pPr>
              <w:ind w:left="800"/>
              <w:spacing w:after="0" w:line="163"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300" w:type="dxa"/>
            <w:vAlign w:val="bottom"/>
          </w:tcPr>
          <w:p>
            <w:pPr>
              <w:spacing w:after="0"/>
              <w:rPr>
                <w:sz w:val="14"/>
                <w:szCs w:val="14"/>
                <w:color w:val="auto"/>
              </w:rPr>
            </w:pPr>
          </w:p>
        </w:tc>
        <w:tc>
          <w:tcPr>
            <w:tcW w:w="1220" w:type="dxa"/>
            <w:vAlign w:val="bottom"/>
          </w:tcPr>
          <w:p>
            <w:pPr>
              <w:jc w:val="center"/>
              <w:ind w:right="155"/>
              <w:spacing w:after="0" w:line="163" w:lineRule="exact"/>
              <w:rPr>
                <w:sz w:val="20"/>
                <w:szCs w:val="20"/>
                <w:color w:val="auto"/>
              </w:rPr>
            </w:pPr>
            <w:r>
              <w:rPr>
                <w:rFonts w:ascii="Times New Roman" w:cs="Times New Roman" w:eastAsia="Times New Roman" w:hAnsi="Times New Roman"/>
                <w:sz w:val="17"/>
                <w:szCs w:val="17"/>
                <w:b w:val="1"/>
                <w:bCs w:val="1"/>
                <w:color w:val="auto"/>
                <w:w w:val="98"/>
              </w:rPr>
              <w:t>per Share</w:t>
            </w:r>
          </w:p>
        </w:tc>
        <w:tc>
          <w:tcPr>
            <w:tcW w:w="192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Announced Plans or</w:t>
            </w:r>
          </w:p>
        </w:tc>
        <w:tc>
          <w:tcPr>
            <w:tcW w:w="17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the Plans or</w:t>
            </w:r>
          </w:p>
        </w:tc>
        <w:tc>
          <w:tcPr>
            <w:tcW w:w="0" w:type="dxa"/>
            <w:vAlign w:val="bottom"/>
          </w:tcPr>
          <w:p>
            <w:pPr>
              <w:spacing w:after="0"/>
              <w:rPr>
                <w:sz w:val="1"/>
                <w:szCs w:val="1"/>
                <w:color w:val="auto"/>
              </w:rPr>
            </w:pPr>
          </w:p>
        </w:tc>
      </w:tr>
      <w:tr>
        <w:trPr>
          <w:trHeight w:val="242"/>
        </w:trPr>
        <w:tc>
          <w:tcPr>
            <w:tcW w:w="3860" w:type="dxa"/>
            <w:vAlign w:val="bottom"/>
            <w:tcBorders>
              <w:bottom w:val="single" w:sz="8" w:color="auto"/>
            </w:tcBorders>
            <w:vMerge w:val="continue"/>
          </w:tcPr>
          <w:p>
            <w:pPr>
              <w:spacing w:after="0"/>
              <w:rPr>
                <w:sz w:val="21"/>
                <w:szCs w:val="21"/>
                <w:color w:val="auto"/>
              </w:rPr>
            </w:pPr>
          </w:p>
        </w:tc>
        <w:tc>
          <w:tcPr>
            <w:tcW w:w="2160" w:type="dxa"/>
            <w:vAlign w:val="bottom"/>
            <w:tcBorders>
              <w:bottom w:val="single" w:sz="8" w:color="auto"/>
            </w:tcBorders>
          </w:tcPr>
          <w:p>
            <w:pPr>
              <w:ind w:left="840"/>
              <w:spacing w:after="0" w:line="242" w:lineRule="exact"/>
              <w:rPr>
                <w:sz w:val="20"/>
                <w:szCs w:val="20"/>
                <w:color w:val="auto"/>
              </w:rPr>
            </w:pPr>
            <w:r>
              <w:rPr>
                <w:rFonts w:ascii="Times New Roman" w:cs="Times New Roman" w:eastAsia="Times New Roman" w:hAnsi="Times New Roman"/>
                <w:sz w:val="17"/>
                <w:szCs w:val="17"/>
                <w:b w:val="1"/>
                <w:bCs w:val="1"/>
                <w:color w:val="auto"/>
              </w:rPr>
              <w:t>Repurchased</w:t>
            </w:r>
            <w:r>
              <w:rPr>
                <w:rFonts w:ascii="Times New Roman" w:cs="Times New Roman" w:eastAsia="Times New Roman" w:hAnsi="Times New Roman"/>
                <w:sz w:val="22"/>
                <w:szCs w:val="22"/>
                <w:b w:val="1"/>
                <w:bCs w:val="1"/>
                <w:color w:val="auto"/>
                <w:vertAlign w:val="superscript"/>
              </w:rPr>
              <w:t>1,2,3</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(or Unit)</w:t>
            </w:r>
          </w:p>
        </w:tc>
        <w:tc>
          <w:tcPr>
            <w:tcW w:w="1920" w:type="dxa"/>
            <w:vAlign w:val="bottom"/>
            <w:tcBorders>
              <w:bottom w:val="single" w:sz="8" w:color="auto"/>
            </w:tcBorders>
          </w:tcPr>
          <w:p>
            <w:pPr>
              <w:jc w:val="center"/>
              <w:spacing w:after="0" w:line="242" w:lineRule="exact"/>
              <w:rPr>
                <w:sz w:val="20"/>
                <w:szCs w:val="20"/>
                <w:color w:val="auto"/>
              </w:rPr>
            </w:pPr>
            <w:r>
              <w:rPr>
                <w:rFonts w:ascii="Times New Roman" w:cs="Times New Roman" w:eastAsia="Times New Roman" w:hAnsi="Times New Roman"/>
                <w:sz w:val="17"/>
                <w:szCs w:val="17"/>
                <w:b w:val="1"/>
                <w:bCs w:val="1"/>
                <w:color w:val="auto"/>
                <w:w w:val="93"/>
              </w:rPr>
              <w:t>Programs</w:t>
            </w:r>
            <w:r>
              <w:rPr>
                <w:rFonts w:ascii="Times New Roman" w:cs="Times New Roman" w:eastAsia="Times New Roman" w:hAnsi="Times New Roman"/>
                <w:sz w:val="22"/>
                <w:szCs w:val="22"/>
                <w:b w:val="1"/>
                <w:bCs w:val="1"/>
                <w:color w:val="auto"/>
                <w:w w:val="93"/>
                <w:vertAlign w:val="superscript"/>
              </w:rPr>
              <w:t>1,2</w:t>
            </w:r>
          </w:p>
        </w:tc>
        <w:tc>
          <w:tcPr>
            <w:tcW w:w="1780" w:type="dxa"/>
            <w:vAlign w:val="bottom"/>
            <w:tcBorders>
              <w:bottom w:val="single" w:sz="8" w:color="auto"/>
            </w:tcBorders>
          </w:tcPr>
          <w:p>
            <w:pPr>
              <w:jc w:val="center"/>
              <w:spacing w:after="0" w:line="242" w:lineRule="exact"/>
              <w:rPr>
                <w:sz w:val="20"/>
                <w:szCs w:val="20"/>
                <w:color w:val="auto"/>
              </w:rPr>
            </w:pPr>
            <w:r>
              <w:rPr>
                <w:rFonts w:ascii="Times New Roman" w:cs="Times New Roman" w:eastAsia="Times New Roman" w:hAnsi="Times New Roman"/>
                <w:sz w:val="17"/>
                <w:szCs w:val="17"/>
                <w:b w:val="1"/>
                <w:bCs w:val="1"/>
                <w:color w:val="auto"/>
                <w:w w:val="95"/>
              </w:rPr>
              <w:t>Programs</w:t>
            </w:r>
            <w:r>
              <w:rPr>
                <w:rFonts w:ascii="Times New Roman" w:cs="Times New Roman" w:eastAsia="Times New Roman" w:hAnsi="Times New Roman"/>
                <w:sz w:val="22"/>
                <w:szCs w:val="22"/>
                <w:b w:val="1"/>
                <w:bCs w:val="1"/>
                <w:color w:val="auto"/>
                <w:w w:val="95"/>
                <w:vertAlign w:val="superscript"/>
              </w:rPr>
              <w:t>1,2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31, 2026 through February 27, 2026</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185,969</w:t>
            </w:r>
          </w:p>
        </w:tc>
        <w:tc>
          <w:tcPr>
            <w:tcW w:w="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96.53</w:t>
            </w:r>
          </w:p>
        </w:tc>
        <w:tc>
          <w:tcPr>
            <w:tcW w:w="1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185,969</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9,074,169</w:t>
            </w:r>
          </w:p>
        </w:tc>
        <w:tc>
          <w:tcPr>
            <w:tcW w:w="0" w:type="dxa"/>
            <w:vAlign w:val="bottom"/>
          </w:tcPr>
          <w:p>
            <w:pPr>
              <w:spacing w:after="0"/>
              <w:rPr>
                <w:sz w:val="1"/>
                <w:szCs w:val="1"/>
                <w:color w:val="auto"/>
              </w:rPr>
            </w:pPr>
          </w:p>
        </w:tc>
      </w:tr>
      <w:tr>
        <w:trPr>
          <w:trHeight w:val="22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28, 2026 through April 3, 2026</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1,478,856</w:t>
            </w:r>
          </w:p>
        </w:tc>
        <w:tc>
          <w:tcPr>
            <w:tcW w:w="3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95.46</w:t>
            </w:r>
          </w:p>
        </w:tc>
        <w:tc>
          <w:tcPr>
            <w:tcW w:w="1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1,478,856</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7,595,313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4, 2026 through May 1, 2026</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329,987</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94.61</w:t>
            </w:r>
          </w:p>
        </w:tc>
        <w:tc>
          <w:tcPr>
            <w:tcW w:w="1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328,777</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7,266,536</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1,994,812</w:t>
            </w:r>
          </w:p>
        </w:tc>
        <w:tc>
          <w:tcPr>
            <w:tcW w:w="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95.42</w:t>
            </w:r>
          </w:p>
        </w:tc>
        <w:tc>
          <w:tcPr>
            <w:tcW w:w="1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1,993,602</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8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180" w:hanging="172"/>
        <w:spacing w:after="0"/>
        <w:tabs>
          <w:tab w:leader="none" w:pos="18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10, 2024, the company’s Board of Directors authorized the repurchase of up to an additional 4,000,000 shares of common stock under the stock repurchase program. The company repurchased 1,993,602 shares under this tranche of the stock repurchase program during the period indicated above and as a result, 1,266,536 shares remained available to repurchase as of May 1, 2026.</w:t>
      </w:r>
    </w:p>
    <w:p>
      <w:pPr>
        <w:spacing w:after="0" w:line="87" w:lineRule="exact"/>
        <w:rPr>
          <w:sz w:val="20"/>
          <w:szCs w:val="20"/>
          <w:color w:val="auto"/>
        </w:rPr>
      </w:pPr>
    </w:p>
    <w:p>
      <w:pPr>
        <w:ind w:left="180" w:hanging="172"/>
        <w:spacing w:after="0" w:line="230" w:lineRule="auto"/>
        <w:tabs>
          <w:tab w:leader="none" w:pos="18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9, 2025, the company’s Board of Directors authorized the repurchase of up to an additional 6,000,000 shares of common stock under the stock repurchase program. No shares of common stock were repurchased under this tranche of the stock repurchase program during the time period indicated above.</w:t>
      </w:r>
    </w:p>
    <w:p>
      <w:pPr>
        <w:spacing w:after="0" w:line="87" w:lineRule="exact"/>
        <w:rPr>
          <w:sz w:val="20"/>
          <w:szCs w:val="20"/>
          <w:color w:val="auto"/>
        </w:rPr>
      </w:pPr>
    </w:p>
    <w:p>
      <w:pPr>
        <w:ind w:left="180" w:hanging="172"/>
        <w:spacing w:after="0" w:line="230" w:lineRule="auto"/>
        <w:tabs>
          <w:tab w:leader="none" w:pos="207"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1,210 shares of the company’s common stock repurchased in open-market transactions at an average price of $96.99 per share on behalf of a rabbi trust formed to pay benefit obligations of the company to participants in the company's deferred compensation plans. These 1,210 shares were not repurchased under the stock repurchase program.</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company’s second quarter ended May 1, 2026, none of its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w:t>
            </w:r>
          </w:p>
        </w:tc>
        <w:tc>
          <w:tcPr>
            <w:tcW w:w="12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4180" w:type="dxa"/>
            <w:vAlign w:val="bottom"/>
            <w:tcBorders>
              <w:top w:val="single" w:sz="8" w:color="auto"/>
              <w:bottom w:val="single" w:sz="8" w:color="auto"/>
            </w:tcBorders>
          </w:tcPr>
          <w:p>
            <w:pPr>
              <w:spacing w:after="0"/>
              <w:rPr>
                <w:sz w:val="21"/>
                <w:szCs w:val="21"/>
                <w:color w:val="auto"/>
              </w:rPr>
            </w:pPr>
          </w:p>
        </w:tc>
        <w:tc>
          <w:tcPr>
            <w:tcW w:w="5440" w:type="dxa"/>
            <w:vAlign w:val="bottom"/>
            <w:tcBorders>
              <w:top w:val="single" w:sz="8" w:color="auto"/>
              <w:bottom w:val="single" w:sz="8" w:color="auto"/>
            </w:tcBorders>
            <w:gridSpan w:val="11"/>
          </w:tcPr>
          <w:p>
            <w:pPr>
              <w:ind w:left="1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128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b w:val="1"/>
                <w:bCs w:val="1"/>
                <w:color w:val="auto"/>
              </w:rPr>
              <w:t>2.1</w:t>
            </w:r>
          </w:p>
        </w:tc>
        <w:tc>
          <w:tcPr>
            <w:tcW w:w="9620" w:type="dxa"/>
            <w:vAlign w:val="bottom"/>
            <w:gridSpan w:val="12"/>
          </w:tcPr>
          <w:p>
            <w:pPr>
              <w:spacing w:after="0" w:line="169"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Arrangement Agreement, dated as of October 6, 2025, among The Toro Company, Tornado Acquisition Company ULC, and Tornado</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Infrastructure Equipment Ltd. (incorporated by reference to Exhibit 2.1 to Registrant’s Current Report on Form 8-K as filed with the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140" w:type="dxa"/>
            <w:vAlign w:val="bottom"/>
            <w:tcBorders>
              <w:bottom w:val="single" w:sz="8" w:color="0000FF"/>
            </w:tcBorders>
            <w:gridSpan w:val="2"/>
          </w:tcPr>
          <w:p>
            <w:pPr>
              <w:spacing w:after="0" w:line="155"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Securities and Exchange Commission on October 8, 2025, Commission File No. 1-8649).</w:t>
              </w:r>
            </w:hyperlink>
          </w:p>
        </w:tc>
        <w:tc>
          <w:tcPr>
            <w:tcW w:w="34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3.1 and 4.1</w:t>
            </w:r>
          </w:p>
        </w:tc>
        <w:tc>
          <w:tcPr>
            <w:tcW w:w="9620" w:type="dxa"/>
            <w:vAlign w:val="bottom"/>
            <w:gridSpan w:val="12"/>
          </w:tcPr>
          <w:p>
            <w:pPr>
              <w:spacing w:after="0"/>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Restated Certificate of Incorporation of The Toro Company (incorporated by reference to Exhibit 3.2 to Registrant’s Current Report on</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98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Form 8-K as filed with the Securities and Exchange Commission on March 20, 2026, Commission File No. 1-8649).</w:t>
              </w:r>
            </w:hyperlink>
          </w:p>
        </w:tc>
        <w:tc>
          <w:tcPr>
            <w:tcW w:w="1540" w:type="dxa"/>
            <w:vAlign w:val="bottom"/>
            <w:tcBorders>
              <w:top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8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3.2 and 4.2</w:t>
            </w:r>
          </w:p>
        </w:tc>
        <w:tc>
          <w:tcPr>
            <w:tcW w:w="9620" w:type="dxa"/>
            <w:vAlign w:val="bottom"/>
            <w:gridSpan w:val="12"/>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Amended and Restated Bylaws of The Toro Company (incorporated by reference to Exhibit 3.3 to Registrant’s Current Report on Form 8-</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K as filed with the Securities and Exchange Commission on March 20, 2026, Commission File No. 1-8649).</w:t>
              </w:r>
            </w:hyperlink>
          </w:p>
        </w:tc>
        <w:tc>
          <w:tcPr>
            <w:tcW w:w="21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31.1</w:t>
            </w:r>
          </w:p>
        </w:tc>
        <w:tc>
          <w:tcPr>
            <w:tcW w:w="9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 (Section 302 of the Sarbanes-Oxley Act of 2002) (filed herewith).</w:t>
            </w:r>
          </w:p>
        </w:tc>
        <w:tc>
          <w:tcPr>
            <w:tcW w:w="44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31.2</w:t>
            </w:r>
          </w:p>
        </w:tc>
        <w:tc>
          <w:tcPr>
            <w:tcW w:w="96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Rule 13a-14(a) (Section 302 of the Sarbanes-Oxley Act of 2002) (filed herewith).</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32</w:t>
            </w:r>
          </w:p>
        </w:tc>
        <w:tc>
          <w:tcPr>
            <w:tcW w:w="4180" w:type="dxa"/>
            <w:vAlign w:val="bottom"/>
            <w:shd w:val="clear" w:color="auto" w:fill="0000FF"/>
          </w:tcPr>
          <w:p>
            <w:pPr>
              <w:spacing w:after="0" w:line="20" w:lineRule="exact"/>
              <w:rPr>
                <w:sz w:val="1"/>
                <w:szCs w:val="1"/>
                <w:color w:val="auto"/>
              </w:rPr>
            </w:pPr>
          </w:p>
        </w:tc>
        <w:tc>
          <w:tcPr>
            <w:tcW w:w="4940" w:type="dxa"/>
            <w:vAlign w:val="bottom"/>
            <w:gridSpan w:val="4"/>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8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18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906 of the Sarbanes-Oxley Act of 2002 (furnished herewith).</w:t>
            </w:r>
          </w:p>
        </w:tc>
        <w:tc>
          <w:tcPr>
            <w:tcW w:w="540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1680" w:right="20" w:hanging="1263"/>
        <w:spacing w:after="0" w:line="217" w:lineRule="auto"/>
        <w:tabs>
          <w:tab w:leader="none" w:pos="168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financial information from The Toro Company’s Quarterly Report on Form 10-Q for the quarterly period ended May 1, 2026, filed with the SEC on June 4, 2026, formatted in Inline eXtensible Business Reporting Language (Inline XBRL): (i) Condensed Consolidated Statements of Earnings for the three and six month periods ended May 1, 2026 and May 2, 2025, (ii) Condensed</w:t>
      </w:r>
    </w:p>
    <w:p>
      <w:pPr>
        <w:ind w:left="1680"/>
        <w:spacing w:after="0" w:line="199" w:lineRule="auto"/>
        <w:rPr>
          <w:sz w:val="20"/>
          <w:szCs w:val="20"/>
          <w:color w:val="auto"/>
        </w:rPr>
      </w:pPr>
      <w:r>
        <w:rPr>
          <w:rFonts w:ascii="Times New Roman" w:cs="Times New Roman" w:eastAsia="Times New Roman" w:hAnsi="Times New Roman"/>
          <w:sz w:val="17"/>
          <w:szCs w:val="17"/>
          <w:color w:val="auto"/>
        </w:rPr>
        <w:t>Consolidated Statements of Comprehensive Income (Loss) for the three and six month periods ended May 1, 2026 and May 2, 2025,</w:t>
      </w:r>
    </w:p>
    <w:p>
      <w:pPr>
        <w:spacing w:after="0" w:line="1" w:lineRule="exact"/>
        <w:rPr>
          <w:sz w:val="20"/>
          <w:szCs w:val="20"/>
          <w:color w:val="auto"/>
        </w:rPr>
      </w:pPr>
    </w:p>
    <w:p>
      <w:pPr>
        <w:jc w:val="both"/>
        <w:ind w:left="1680" w:right="20" w:firstLine="6"/>
        <w:spacing w:after="0" w:line="220" w:lineRule="auto"/>
        <w:tabs>
          <w:tab w:leader="none" w:pos="2009"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Balance Sheets as of May 1, 2026, May 2, 2025, and October 31, 2025, (iv) Condensed Consolidated Statement of Cash Flows for the six month periods ended May 1, 2026 and May 2, 2025, (v) Condensed Consolidated Statements of Stockholders' Equity for the three and six month periods ended May 1, 2026 and May 2, 2025, and (vi) Notes to Condensed Consolidated Financial Statements (filed herewith).</w:t>
      </w:r>
    </w:p>
    <w:p>
      <w:pPr>
        <w:spacing w:after="0" w:line="62" w:lineRule="exact"/>
        <w:rPr>
          <w:sz w:val="20"/>
          <w:szCs w:val="20"/>
          <w:color w:val="auto"/>
        </w:rPr>
      </w:pPr>
    </w:p>
    <w:p>
      <w:pPr>
        <w:ind w:left="1680" w:hanging="1263"/>
        <w:spacing w:after="0"/>
        <w:tabs>
          <w:tab w:leader="none" w:pos="168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303" w:lineRule="exact"/>
        <w:rPr>
          <w:rFonts w:ascii="Times New Roman" w:cs="Times New Roman" w:eastAsia="Times New Roman" w:hAnsi="Times New Roman"/>
          <w:sz w:val="17"/>
          <w:szCs w:val="17"/>
          <w:b w:val="1"/>
          <w:bCs w:val="1"/>
          <w:color w:val="auto"/>
        </w:rPr>
      </w:pPr>
    </w:p>
    <w:p>
      <w:pPr>
        <w:ind w:left="55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8200" w:type="dxa"/>
            <w:vAlign w:val="bottom"/>
            <w:gridSpan w:val="2"/>
          </w:tcPr>
          <w:p>
            <w:pPr>
              <w:jc w:val="center"/>
              <w:ind w:right="2950"/>
              <w:spacing w:after="0"/>
              <w:rPr>
                <w:sz w:val="20"/>
                <w:szCs w:val="20"/>
                <w:color w:val="auto"/>
              </w:rPr>
            </w:pPr>
            <w:r>
              <w:rPr>
                <w:rFonts w:ascii="Times New Roman" w:cs="Times New Roman" w:eastAsia="Times New Roman" w:hAnsi="Times New Roman"/>
                <w:sz w:val="18"/>
                <w:szCs w:val="18"/>
                <w:color w:val="auto"/>
                <w:w w:val="98"/>
              </w:rPr>
              <w:t>THE TORO COMPANY</w:t>
            </w:r>
          </w:p>
        </w:tc>
      </w:tr>
      <w:tr>
        <w:trPr>
          <w:trHeight w:val="234"/>
        </w:trPr>
        <w:tc>
          <w:tcPr>
            <w:tcW w:w="3020" w:type="dxa"/>
            <w:vAlign w:val="bottom"/>
          </w:tcPr>
          <w:p>
            <w:pPr>
              <w:spacing w:after="0"/>
              <w:rPr>
                <w:sz w:val="20"/>
                <w:szCs w:val="20"/>
                <w:color w:val="auto"/>
              </w:rPr>
            </w:pPr>
          </w:p>
        </w:tc>
        <w:tc>
          <w:tcPr>
            <w:tcW w:w="8200" w:type="dxa"/>
            <w:vAlign w:val="bottom"/>
            <w:gridSpan w:val="2"/>
          </w:tcPr>
          <w:p>
            <w:pPr>
              <w:jc w:val="center"/>
              <w:ind w:right="293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82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/s/ Angela C. Drake</w:t>
            </w:r>
          </w:p>
        </w:tc>
      </w:tr>
      <w:tr>
        <w:trPr>
          <w:trHeight w:val="218"/>
        </w:trPr>
        <w:tc>
          <w:tcPr>
            <w:tcW w:w="3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Angela C. Drake</w:t>
            </w:r>
          </w:p>
        </w:tc>
      </w:tr>
      <w:tr>
        <w:trPr>
          <w:trHeight w:val="229"/>
        </w:trPr>
        <w:tc>
          <w:tcPr>
            <w:tcW w:w="30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180"/>
        </w:trPr>
        <w:tc>
          <w:tcPr>
            <w:tcW w:w="30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(duly authorized officer, principal financial officer, and principal</w:t>
            </w:r>
          </w:p>
        </w:tc>
      </w:tr>
      <w:tr>
        <w:trPr>
          <w:trHeight w:val="234"/>
        </w:trPr>
        <w:tc>
          <w:tcPr>
            <w:tcW w:w="3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61"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C. Drake,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May 1, 2026 of The Toro Company (the “Company”) as filed with the Securities and Exchange Commission on the date hereof (the “Report”), we, Richard M. Olson, Chairman of the Board and Chief Executive Officer of the Company, and Angela C. Drake, Vice President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77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4, 2026</w:t>
      </w:r>
    </w:p>
    <w:p>
      <w:pPr>
        <w:spacing w:after="0" w:line="200" w:lineRule="exact"/>
        <w:rPr>
          <w:sz w:val="20"/>
          <w:szCs w:val="20"/>
          <w:color w:val="auto"/>
        </w:rPr>
      </w:pPr>
    </w:p>
    <w:p>
      <w:pPr>
        <w:spacing w:after="0" w:line="2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1"/>
      <w:numFmt w:val="bullet"/>
      <w:start w:val="1"/>
    </w:lvl>
  </w:abstractNum>
  <w:abstractNum w:abstractNumId="6">
    <w:nsid w:val="431BD7B7"/>
    <w:multiLevelType w:val="hybridMultilevel"/>
    <w:lvl w:ilvl="0">
      <w:lvlJc w:val="left"/>
      <w:lvlText w:val="1"/>
      <w:numFmt w:val="bullet"/>
      <w:start w:val="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2"/>
      <w:numFmt w:val="bullet"/>
      <w:start w:val="1"/>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5"/>
      <w:numFmt w:val="bullet"/>
      <w:start w:val="1"/>
    </w:lvl>
  </w:abstractNum>
  <w:abstractNum w:abstractNumId="12">
    <w:nsid w:val="628C895D"/>
    <w:multiLevelType w:val="hybridMultilevel"/>
    <w:lvl w:ilvl="0">
      <w:lvlJc w:val="left"/>
      <w:lvlText w:val="7"/>
      <w:numFmt w:val="bullet"/>
      <w:start w:val="1"/>
    </w:lvl>
  </w:abstractNum>
  <w:abstractNum w:abstractNumId="13">
    <w:nsid w:val="333AB105"/>
    <w:multiLevelType w:val="hybridMultilevel"/>
    <w:lvl w:ilvl="0">
      <w:lvlJc w:val="left"/>
      <w:lvlText w:val="8"/>
      <w:numFmt w:val="bullet"/>
      <w:start w:val="1"/>
    </w:lvl>
  </w:abstractNum>
  <w:abstractNum w:abstractNumId="14">
    <w:nsid w:val="721DA317"/>
    <w:multiLevelType w:val="hybridMultilevel"/>
    <w:lvl w:ilvl="0">
      <w:lvlJc w:val="left"/>
      <w:lvlText w:val="9"/>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2"/>
      <w:numFmt w:val="bullet"/>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2"/>
      <w:numFmt w:val="bullet"/>
      <w:start w:val="1"/>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1"/>
      <w:numFmt w:val="decimal"/>
      <w:start w:val="101"/>
    </w:lvl>
  </w:abstractNum>
  <w:abstractNum w:abstractNumId="24">
    <w:nsid w:val="54E49EB4"/>
    <w:multiLevelType w:val="hybridMultilevel"/>
    <w:lvl w:ilvl="0">
      <w:lvlJc w:val="left"/>
      <w:lvlText w:val="(%1)"/>
      <w:numFmt w:val="lowerRoman"/>
      <w:start w:val="3"/>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0" Type="http://schemas.openxmlformats.org/officeDocument/2006/relationships/hyperlink" Target="https://www.sec.gov/Archives/edgar/data/737758/000162828025044620/cyclonearrangementagreement.htm" TargetMode="External"/><Relationship Id="rId61" Type="http://schemas.openxmlformats.org/officeDocument/2006/relationships/hyperlink" Target="https://www.sec.gov/Archives/edgar/data/737758/000162828026019979/ex32ttcrestatedcharter2025.htm" TargetMode="External"/><Relationship Id="rId62" Type="http://schemas.openxmlformats.org/officeDocument/2006/relationships/hyperlink" Target="https://www.sec.gov/Archives/edgar/data/737758/000162828026019979/ex33ttcbylawamendmentsasa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2026-06-04T11:22:21Z</dcterms:created>
  <dcterms:modified xsi:type="dcterms:W3CDTF">2026-06-04T11:22:21Z</dcterms:modified>
</cp:coreProperties>
</file>