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ind w:left="4120" w:right="2520" w:hanging="1614"/>
        <w:spacing w:after="0" w:line="294" w:lineRule="auto"/>
        <w:tabs>
          <w:tab w:leader="none" w:pos="28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Times New Roman" w:cs="Times New Roman" w:eastAsia="Times New Roman" w:hAnsi="Times New Roman"/>
          <w:sz w:val="1"/>
          <w:szCs w:val="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1-8649</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60"/>
          </w:cols>
          <w:pgMar w:left="320" w:top="826" w:right="319" w:bottom="1440" w:gutter="0" w:footer="0" w:header="0"/>
        </w:sectPr>
      </w:pPr>
    </w:p>
    <w:p>
      <w:pPr>
        <w:spacing w:after="0" w:line="1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41-0580470</w:t>
      </w:r>
    </w:p>
    <w:p>
      <w:pPr>
        <w:spacing w:after="0" w:line="39" w:lineRule="exact"/>
        <w:rPr>
          <w:sz w:val="24"/>
          <w:szCs w:val="24"/>
          <w:color w:val="auto"/>
        </w:rPr>
      </w:pPr>
    </w:p>
    <w:p>
      <w:pPr>
        <w:sectPr>
          <w:pgSz w:w="11900" w:h="16838" w:orient="portrait"/>
          <w:cols w:equalWidth="0" w:num="2">
            <w:col w:w="8660" w:space="720"/>
            <w:col w:w="1880"/>
          </w:cols>
          <w:pgMar w:left="320" w:top="826" w:right="3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 w:lineRule="exact"/>
        <w:rPr>
          <w:sz w:val="24"/>
          <w:szCs w:val="24"/>
          <w:color w:val="auto"/>
        </w:rPr>
      </w:pPr>
    </w:p>
    <w:p>
      <w:pPr>
        <w:sectPr>
          <w:pgSz w:w="11900" w:h="16838" w:orient="portrait"/>
          <w:cols w:equalWidth="0" w:num="2">
            <w:col w:w="8000" w:space="720"/>
            <w:col w:w="2540"/>
          </w:cols>
          <w:pgMar w:left="320" w:top="826"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color w:val="auto"/>
        </w:rPr>
        <w:t>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8111 Lyndale Avenue South</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Number: (952) 888-8801</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Large 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56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6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180" w:type="dxa"/>
            <w:vAlign w:val="bottom"/>
            <w:vMerge w:val="continue"/>
          </w:tcPr>
          <w:p>
            <w:pPr>
              <w:spacing w:after="0"/>
              <w:rPr>
                <w:sz w:val="21"/>
                <w:szCs w:val="21"/>
                <w:color w:val="auto"/>
              </w:rPr>
            </w:pPr>
          </w:p>
        </w:tc>
        <w:tc>
          <w:tcPr>
            <w:tcW w:w="2560" w:type="dxa"/>
            <w:vAlign w:val="bottom"/>
            <w:vMerge w:val="continue"/>
          </w:tcPr>
          <w:p>
            <w:pPr>
              <w:spacing w:after="0"/>
              <w:rPr>
                <w:sz w:val="21"/>
                <w:szCs w:val="21"/>
                <w:color w:val="auto"/>
              </w:rPr>
            </w:pP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the common stock on May 3, 2024, the last business day of the registrant's most recently completed second fiscal quarter, as reported by the New York Stock Exchange, was approximately $9.2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December 11, 2024 was 101,184,218.</w:t>
      </w:r>
    </w:p>
    <w:p>
      <w:pPr>
        <w:spacing w:after="0" w:line="11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registrant's definitive Proxy Statement for the 2025 Annual Meeting of Shareholders expected to be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18,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3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172"/>
        </w:trPr>
        <w:tc>
          <w:tcPr>
            <w:tcW w:w="20" w:type="dxa"/>
            <w:vAlign w:val="bottom"/>
          </w:tcPr>
          <w:p>
            <w:pPr>
              <w:spacing w:after="0"/>
              <w:rPr>
                <w:sz w:val="14"/>
                <w:szCs w:val="14"/>
                <w:color w:val="auto"/>
              </w:rPr>
            </w:pPr>
          </w:p>
        </w:tc>
        <w:tc>
          <w:tcPr>
            <w:tcW w:w="1160" w:type="dxa"/>
            <w:vAlign w:val="bottom"/>
            <w:gridSpan w:val="8"/>
          </w:tcPr>
          <w:p>
            <w:pPr>
              <w:spacing w:after="0" w:line="172" w:lineRule="exact"/>
              <w:rPr>
                <w:sz w:val="20"/>
                <w:szCs w:val="20"/>
                <w:color w:val="auto"/>
              </w:rPr>
            </w:pPr>
            <w:r>
              <w:rPr>
                <w:rFonts w:ascii="Times New Roman" w:cs="Times New Roman" w:eastAsia="Times New Roman" w:hAnsi="Times New Roman"/>
                <w:sz w:val="16"/>
                <w:szCs w:val="16"/>
                <w:color w:val="0000FF"/>
              </w:rPr>
              <w:t>GENERAL</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260" w:type="dxa"/>
            <w:vAlign w:val="bottom"/>
            <w:gridSpan w:val="44"/>
          </w:tcPr>
          <w:p>
            <w:pPr>
              <w:spacing w:after="0"/>
              <w:rPr>
                <w:sz w:val="20"/>
                <w:szCs w:val="20"/>
                <w:color w:val="auto"/>
              </w:rPr>
            </w:pPr>
            <w:r>
              <w:rPr>
                <w:rFonts w:ascii="Times New Roman" w:cs="Times New Roman" w:eastAsia="Times New Roman" w:hAnsi="Times New Roman"/>
                <w:sz w:val="16"/>
                <w:szCs w:val="16"/>
                <w:color w:val="0000FF"/>
              </w:rPr>
              <w:t>CAUTIONARY NOTE REGARDING FORWARD-LOOKING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Business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1B.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1C.</w:t>
            </w:r>
          </w:p>
        </w:tc>
        <w:tc>
          <w:tcPr>
            <w:tcW w:w="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7"/>
          </w:tcPr>
          <w:p>
            <w:pPr>
              <w:spacing w:after="0"/>
              <w:rPr>
                <w:sz w:val="17"/>
                <w:szCs w:val="17"/>
                <w:color w:val="auto"/>
              </w:rPr>
            </w:pPr>
          </w:p>
        </w:tc>
        <w:tc>
          <w:tcPr>
            <w:tcW w:w="6260" w:type="dxa"/>
            <w:vAlign w:val="bottom"/>
            <w:gridSpan w:val="2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2.</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PART II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716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The Toro Company Common Stock Comparative Performance Graph</w:t>
            </w:r>
          </w:p>
        </w:tc>
        <w:tc>
          <w:tcPr>
            <w:tcW w:w="8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[Reserved]</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2300" w:type="dxa"/>
            <w:vAlign w:val="bottom"/>
            <w:gridSpan w:val="4"/>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8"/>
              </w:rPr>
              <w:t>Results of Operations</w:t>
            </w:r>
          </w:p>
        </w:tc>
        <w:tc>
          <w:tcPr>
            <w:tcW w:w="6580" w:type="dxa"/>
            <w:vAlign w:val="bottom"/>
            <w:gridSpan w:val="2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Position</w:t>
            </w:r>
          </w:p>
        </w:tc>
        <w:tc>
          <w:tcPr>
            <w:tcW w:w="6700" w:type="dxa"/>
            <w:vAlign w:val="bottom"/>
            <w:gridSpan w:val="2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9"/>
              </w:rPr>
              <w:t>Non-GAAP Financial Measures</w:t>
            </w:r>
          </w:p>
        </w:tc>
        <w:tc>
          <w:tcPr>
            <w:tcW w:w="5900" w:type="dxa"/>
            <w:vAlign w:val="bottom"/>
            <w:gridSpan w:val="2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Critical Accounting Policies and Estimates</w:t>
            </w:r>
          </w:p>
        </w:tc>
        <w:tc>
          <w:tcPr>
            <w:tcW w:w="5200" w:type="dxa"/>
            <w:vAlign w:val="bottom"/>
            <w:gridSpan w:val="16"/>
          </w:tcPr>
          <w:p>
            <w:pPr>
              <w:spacing w:after="0"/>
              <w:rPr>
                <w:sz w:val="24"/>
                <w:szCs w:val="24"/>
                <w:color w:val="auto"/>
              </w:rPr>
            </w:pPr>
          </w:p>
        </w:tc>
        <w:tc>
          <w:tcPr>
            <w:tcW w:w="17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460" w:type="dxa"/>
            <w:vAlign w:val="bottom"/>
            <w:gridSpan w:val="2"/>
          </w:tcPr>
          <w:p>
            <w:pPr>
              <w:spacing w:after="0"/>
              <w:rPr>
                <w:sz w:val="17"/>
                <w:szCs w:val="17"/>
                <w:color w:val="auto"/>
              </w:rPr>
            </w:pPr>
          </w:p>
        </w:tc>
        <w:tc>
          <w:tcPr>
            <w:tcW w:w="39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6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8.</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Management's Report on Internal Control over Financial Reporting</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620" w:type="dxa"/>
            <w:vAlign w:val="bottom"/>
            <w:gridSpan w:val="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Earnings</w:t>
            </w:r>
          </w:p>
        </w:tc>
        <w:tc>
          <w:tcPr>
            <w:tcW w:w="4180" w:type="dxa"/>
            <w:vAlign w:val="bottom"/>
            <w:gridSpan w:val="1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4600" w:type="dxa"/>
            <w:vAlign w:val="bottom"/>
            <w:gridSpan w:val="1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380" w:type="dxa"/>
            <w:vAlign w:val="bottom"/>
            <w:gridSpan w:val="18"/>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4800" w:type="dxa"/>
            <w:vAlign w:val="bottom"/>
            <w:gridSpan w:val="1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460" w:type="dxa"/>
            <w:vAlign w:val="bottom"/>
            <w:gridSpan w:val="2"/>
          </w:tcPr>
          <w:p>
            <w:pPr>
              <w:spacing w:after="0"/>
              <w:rPr>
                <w:sz w:val="17"/>
                <w:szCs w:val="17"/>
                <w:color w:val="auto"/>
              </w:rPr>
            </w:pP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2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9B.</w:t>
            </w:r>
          </w:p>
        </w:tc>
        <w:tc>
          <w:tcPr>
            <w:tcW w:w="460" w:type="dxa"/>
            <w:vAlign w:val="bottom"/>
            <w:gridSpan w:val="2"/>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9C.</w:t>
            </w: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36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PART III</w:t>
            </w:r>
          </w:p>
        </w:tc>
        <w:tc>
          <w:tcPr>
            <w:tcW w:w="56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11.</w:t>
            </w:r>
          </w:p>
        </w:tc>
        <w:tc>
          <w:tcPr>
            <w:tcW w:w="500" w:type="dxa"/>
            <w:vAlign w:val="bottom"/>
            <w:gridSpan w:val="4"/>
          </w:tcPr>
          <w:p>
            <w:pPr>
              <w:spacing w:after="0"/>
              <w:rPr>
                <w:sz w:val="17"/>
                <w:szCs w:val="17"/>
                <w:color w:val="auto"/>
              </w:rPr>
            </w:pPr>
          </w:p>
        </w:tc>
        <w:tc>
          <w:tcPr>
            <w:tcW w:w="16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2060" w:type="dxa"/>
            <w:vAlign w:val="bottom"/>
            <w:tcBorders>
              <w:top w:val="single" w:sz="8" w:color="0000FF"/>
            </w:tcBorders>
            <w:gridSpan w:val="12"/>
          </w:tcPr>
          <w:p>
            <w:pPr>
              <w:spacing w:after="0"/>
              <w:rPr>
                <w:sz w:val="17"/>
                <w:szCs w:val="17"/>
                <w:color w:val="auto"/>
              </w:rPr>
            </w:pPr>
          </w:p>
        </w:tc>
        <w:tc>
          <w:tcPr>
            <w:tcW w:w="4400" w:type="dxa"/>
            <w:vAlign w:val="bottom"/>
            <w:gridSpan w:val="1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12.</w:t>
            </w:r>
          </w:p>
        </w:tc>
        <w:tc>
          <w:tcPr>
            <w:tcW w:w="500" w:type="dxa"/>
            <w:vAlign w:val="bottom"/>
            <w:gridSpan w:val="4"/>
          </w:tcPr>
          <w:p>
            <w:pPr>
              <w:spacing w:after="0"/>
              <w:rPr>
                <w:sz w:val="17"/>
                <w:szCs w:val="17"/>
                <w:color w:val="auto"/>
              </w:rPr>
            </w:pPr>
          </w:p>
        </w:tc>
        <w:tc>
          <w:tcPr>
            <w:tcW w:w="658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52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13.</w:t>
            </w:r>
          </w:p>
        </w:tc>
        <w:tc>
          <w:tcPr>
            <w:tcW w:w="500" w:type="dxa"/>
            <w:vAlign w:val="bottom"/>
            <w:gridSpan w:val="4"/>
          </w:tcPr>
          <w:p>
            <w:pPr>
              <w:spacing w:after="0"/>
              <w:rPr>
                <w:sz w:val="17"/>
                <w:szCs w:val="17"/>
                <w:color w:val="auto"/>
              </w:rPr>
            </w:pPr>
          </w:p>
        </w:tc>
        <w:tc>
          <w:tcPr>
            <w:tcW w:w="4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180" w:type="dxa"/>
            <w:vAlign w:val="bottom"/>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PART IV</w:t>
            </w:r>
          </w:p>
        </w:tc>
        <w:tc>
          <w:tcPr>
            <w:tcW w:w="500" w:type="dxa"/>
            <w:vAlign w:val="bottom"/>
            <w:gridSpan w:val="4"/>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15.</w:t>
            </w:r>
          </w:p>
        </w:tc>
        <w:tc>
          <w:tcPr>
            <w:tcW w:w="500" w:type="dxa"/>
            <w:vAlign w:val="bottom"/>
            <w:gridSpan w:val="4"/>
          </w:tcPr>
          <w:p>
            <w:pPr>
              <w:spacing w:after="0"/>
              <w:rPr>
                <w:sz w:val="17"/>
                <w:szCs w:val="17"/>
                <w:color w:val="auto"/>
              </w:rPr>
            </w:pPr>
          </w:p>
        </w:tc>
        <w:tc>
          <w:tcPr>
            <w:tcW w:w="81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Exhibit and Financial Statement Schedules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0000FF"/>
            </w:tcBorders>
            <w:gridSpan w:val="9"/>
            <w:shd w:val="clear" w:color="auto" w:fill="0000FF"/>
          </w:tcPr>
          <w:p>
            <w:pPr>
              <w:spacing w:after="0" w:line="20" w:lineRule="exact"/>
              <w:rPr>
                <w:sz w:val="1"/>
                <w:szCs w:val="1"/>
                <w:color w:val="auto"/>
              </w:rPr>
            </w:pPr>
          </w:p>
        </w:tc>
        <w:tc>
          <w:tcPr>
            <w:tcW w:w="1380" w:type="dxa"/>
            <w:vAlign w:val="bottom"/>
            <w:tcBorders>
              <w:left w:val="single" w:sz="8" w:color="0000FF"/>
            </w:tcBorders>
            <w:gridSpan w:val="10"/>
            <w:shd w:val="clear" w:color="auto" w:fill="0000FF"/>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16.</w:t>
            </w:r>
          </w:p>
        </w:tc>
        <w:tc>
          <w:tcPr>
            <w:tcW w:w="500" w:type="dxa"/>
            <w:vAlign w:val="bottom"/>
            <w:gridSpan w:val="4"/>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320" w:type="dxa"/>
            <w:vAlign w:val="bottom"/>
            <w:gridSpan w:val="17"/>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“TTC,” the “company,” “we,” “us,” and “our,” refer to The Toro Company and its consolidated subsidiaries. References to fiscal years, such as "fiscal 2024," are to the fiscal year ending on October 31 of the specified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“Toro” and many other marks as trademarks in the United States and/or in other countries. This Annual Report on Form 10-K contains references to our registered or common law trade names, trademarks or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unless otherwise stated.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"goal," "encourage," "anticipate," "continue," "plan," "objective," "estimate," "project," "target," "improve," "believe," "become," "should," "could," "will," "would," "possible," "may," "likely," "intend," "can," "seek," "pursue," "potential," variations of such words or the negative thereof, and similar expressions or future dates. Our forward-looking statements generally relate to our future performance and may include, among others, statements relating to:</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results, liquidity requirements, and financial condition;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impacts of current global supply chain disruptions, the inflationary environment, the imposition, or threat of imposition, of additional tariffs, based on the recent U.S. presidential election, the war between Ukraine and Russia, the war between Israel and Hamas, and the related sanctions and geopolitical tensions, tight labor markets, and other macroeconomic factors;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priorities, goals, and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any impairment, restructuring, or other charges in connection therewith or resulting therefrom;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productivity initiatives and anticipated sales growth, profitability, cost savings, and other benefits associated therewith;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rules, policies, regulations, tax reform, new accounting pronouncements, and outstanding litigation on our business and future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purpose is to help our customers enrich the beauty, productivity, and sustainability of the land. Our products are marketed and sold worldwide through a network of distributors, dealers, mass retailers, hardware retailers, equipment rental centers, and home centers, as well as online and direct to end-users under the primary trademarks of Toro®, Ditch Witch®, eXmark®, Spartan®, BOSS®, Ventrac®, American Augers®, Trencor®,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complement our brands, enhance our product portfolios, and improve our technologies through innovation and strategic acquisitions over the more than 100 years we have been in business. We plan to continue to leverage a strategic and disciplined approach to pursue targeted acquisitions that add value to TTC by complementing our existing brands, enhancing our product portfolio, and/or improving our technologies.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 These Other activities consist of earnings (loss) from a wholly-owned domestic distribution company, certain corporate activities, and the elimination of intersegment revenues and expenses. Net sales of our reportable segments and Other activities accounted for the following percentages of our consolidated net sales for fiscal 2024: Professional, 77.6 percent; Residential, 21.8 percent; and Other, 0.6 percent.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environmental, social, and governance priorities, are embedded as part of our commitment to advancing our sustainability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by Market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be a leader in adapting advanced technologies to products and services that provide innovative solutions for turf maintenance; landscape and lighting; rental, specialty, and underground construction; snow and ice management; agricultural; and residential demands. The following is a summary of our products, by market, for our Professional segment and our products for our Residential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professional turf maintenance;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to professional and other users, including homeowners,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Golf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the only company to offer both equipment and irrigation products for the golf market, and are a market leader in both. We design, manufacture, market, and sell equipment products under the Toro and Ventrac brands that are intended to provide innovative solutions for golf course turf maintenance. Equipment products for the golf market include large reel and rotary riding mowers for fairway, rough, and trim cutting; riding and walking mowers for greens and specialty areas; greens rollers; all-wheel drive articulating tractors; turf sprayer equipment; utility vehicles; aeration equipment; bunker maintenance equipment, and other specialty turf equipment. We also market and sell irrigation products for the golf market under the Toro brand that are designed to provide innovative water application solutions for golf course turf maintenance. These irrigation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predominantly consist of sprinkler heads, controllers, turf sensors, valves and operating software. These equipment and irrigation products are primarily sold to distributors and dealers, who then sell to owners, managers and/or superintendents of golf courses.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Fields and Grounds Market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debris management products, which include versatile debris vacuums, blowers, and sweepers.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valves and operating software. These products are primarily sold to distributors and dealers, who then sell to owners and/or managers of sports fields, governmental properties, and residential and commercial landscapes, as well as directly to government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Landscape Contractor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eXmark, Spartan and Ventrac brands that are intended to provide innovative turf management solutions to landscape contractors. Equipment products for the landscape contractor market include zero-turn radius riding mowers, heavy-duty walk behind mowers, mid-size walk behind mowers, stand-on mowers, and all-wheel drive articulating tractors, as well as turf application, turf renovation, and tree care equipment. These equipment products are primarily sold to distributors and dealers, who then sell to landscape contractors engaged in turf maintenance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Underground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a range of professional grade products to serve the underground construction market under the Ditch Witch, American Augers, Trencor, HammerHead, Subsite, and Radius brands,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broadband, and other utility distribution systems.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Rental and Specialty Construction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material handlers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and Ice Management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salt and brine ice control products; accessories for light and medium duty trucks, all-terrain vehicles, utility task vehicles,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Irrigation and Lighting 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designed to provide innovative water application solutions for both commercial and residential landscapes. Both the Toro and Irritrol brands have received several U.S. Environmental Protection Agency ("EPA") WaterSense awards, as well as the EPA WaterSense certification for numerous irrigation controller families and models. In addition to our irrigation products, we market and sell Unique Lighting Systems-branded products primarily consisting of a line of lighting fixtures and transformers designed for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Ag-Irrigation Market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 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Residential segment products to homeowners through a variety of distribution channels, including outdoor power equipment distributors and dealers, mass retailers, hardware retailers, and home centers, as well as online and direct to end-users. We also license our trademark on certain yard tools and garden equipment products as a means of expanding our brand presence. The following sections describe our Residential segment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Walk Power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Zero-Turn Riding Mower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Thrower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Yard Tools and Garden Equipment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yard tools and garden equipment products are designed, manufactured, marketed, and sold under the Toro brand name. Our Toro-branded yard tools and garden equipment products consist of a variety of battery, electric, and/or gas-powered options and primarily consist of grass trimmers, hedge trimmers, blower-vacuums, chainsaws, edgers, cultivators, string mowers, and related parts and accessories that are designed to provide innovative yard maintenance solutions to homeowners.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currently manufacture our products in the U.S., Mexico, the United Kingdom, Italy, Romania, Germany, Poland, Australia, and China for sale throughout the world. We maintain sales offices in the U.S., the United Kingdom, Australia, Japan, China, Italy, Poland, Germany, Spain, and Belgium. New product development is pursued primarily in the U.S. with the intention of global distribution. Our net sales outside the U.S. were 20.1 percent, 20.8 percent, and 19.5 percent of total consolidated net sales for fiscal 2024, 2023, and 2022, respectively. For additional financial information regarding our international operations and geographical areas,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Research and Innovation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longstanding commitment to innovation and quality in our products has been a key driver of our market success. We are committed to the development of innovative new products and improvements in the quality and performance of existing products. When applicable, we also may pursue targeted and strategic acquisitions to acquire innovative technologies that we believe bolster our longstanding commitment to innovation in our products and complement and support the development of alternative power, smart-connected, and autonomous products within our Professional and Residential segments.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agreements with third-party manufacturers to produce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 final production. DFM/A principles are used throughout the product development process to optimize product quality and reduce cost.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Professional segment products and Residential segment lawn and garden products are generally manufactured 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the related demand for such products. Our production levels and inventory management goals are based on estimates of wholesale and retail demand for our products, taking into account production capacity; commodity, component part,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shut down production at our manufacturing facilities in order to allow for maintenance, rearrangement, capital equipment installation, seasonality, and as needed, to adjust for market demand, facility renovation projects, and other factors. Production shut downs of this nature are generally not materially disruptive to our business and are considered to be normal.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Components, Parts, and Accessories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Our 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changing prices, foreign currency fluctuations, tariffs, duties, trade regulatory actions, industry actions,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utilized in our products are generally commercially available from a number of sources. Although we regularly monitor the adequacy of the supply of our commodities, components, parts, and accessories, and the financial health of the companies in our supply chain, and use alternative suppliers when necessary and available, financial hardship, insufficient demand planning, and/or the inability of companies throughout our supply chain to deliver on supply commitments, requirements, and/or demands has caused disruptions in our ability to procure the commodities, components, and parts required to manufacture our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and labor, and other expenses for non-maintenance repairs. We also sell separately priced extended warranty coverage on select products for a prescribed period after the original warranty period expires.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Service support outside of the warranty period is provided by authorized distributors and dealers at the customer's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Safety and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other operating results for a particular period.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shipment volumes generally precede and overlap the key selling seasons of our channel partners in order to better allow our channel partners to align field inventory levels with the anticipated retail demand from end-customers. As a result, our shipment volumes have historically been the highest in our fiscal second quarter, and retail demand for our products is generally highest in our fiscal third quarter. Typically, our accounts receivable balances increase in the first half of our fiscal year as a result of higher shipment volumes and extended payment terms made available to our customers. Accounts receivable balances typically decrease in the second half of our fiscal year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Shipments of our Residential segment products tend to be more seasonal than our Professional segment products, with shipments of lawn and garden products occurring primarily between February and June, depending upon seasonal weather conditions and product demand.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Seasonality of Professional segment product sales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Weather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seasonal weather conditions in particular geographic regions or markets, specifically severe wet or dry conditions, as well as significant weather events such as fires, hurricanes, tornados, drought, rainfall, unseasonably warm winter months, or other weather events, including those exacerbated by global climate change, may adversely or positively affect sales, demand, and field inventory levels of some of our products. In addition, weather conditions in key regions can cause disruption in our seasonality trends and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 For example, persistent hot and dry weather patterns or excessive snowfall across key regions may impact the rate at which inventory needs to be replenished either negatively or positively.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Distribution, and Marketing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market and sell the majority of our products through more than 150 distributors worldwide, as well as a large number of equipment dealers, irrigation dealers and distributors, mass retailers, hardware retailers, equipment rental centers, and home centers, as well as online and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segment products are sold to distributors and dealers primarily for resale to golf courses, sports fields, contractors, government customers, and homeowners who prefer professional solutions,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Snow and ice management products are primarily sold to distributors and dealers for resale to contractors.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segment products, such as walk power mowers, zero-turn riding mowers, and snow throwers, are generally sold to home centers, mass retailers, dealers, and hardware retailers, as well as online and direct to end-users. In certain markets, these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same products are sold to distributors for resale to hardware retailers and dealers. Yard tools and garden equipment products are primarily sold to home centers, mass retailers, and hardware retailers.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one wholly-owned domestic distribution company. Our primary purpose in owning a domestic distributorship is to improve operations and test and deploy new strategies and business practices that could be replicated by our independent distributors, as well as facilitating ownership transfers.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marketing strategy is to maintain distinct brands and brand identification for Toro, Ditch Witch, eXmark, Spartan, BOSS, Ventrac, American Augers, Trencor, Subsite, HammerHead, Radius, Perrot, Hayter, Unique Lighting Systems, Irritrol, and Lawn-Boy products. Across our brands, we market our Professional and Residential segment products during the appropriate seasons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a joint venture with Huntington Distribution Finance, Inc. ("HDF"), a subsidiary of The Huntington National Bank, established as Red Iron Acceptance, LLC ("Red Iron"), the primary purpose of which is to provide inventory financing to certain distributors and dealers of certain of our products in the U.S. For further information on this joint venture, refer to Note 7,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party to inventory financing arrangements with Red Iron, Huntington Commercial Finance Canada, Inc. ("HCFC"), and other third-party financial institutions (collectively, the "financial institutions") which provide inventory financing to certain dealers and distributors of certain of our products in the U.S. and internationally. For further information on these inventory financing arrangements,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Order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order backlog represents unfulfilled customer orders at a point in time. The dollar value of our order backlog is equal to the gross sales value that we expect to bill to the customer and is not reduced for expected variable consideration related to certain of our sales promotions and incentives programs. Order backlog is one of many indicators of business conditions within the markets and industries that we operate; however, our order backlog is considered more representative of business conditions than an indicator of our expectation of our future net sales because the dollar value of our order backlog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markets,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competitive factors in our markets are product innovation; quality and reliability; pricing and sales programs; product support and customer service; warranty; brand and reputation; channel relationships,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and home centers, as well as online and direct to end-users, users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markets in which our businesses operate, and our distribution channels position us well to compete in various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relatively low barriers to entry resulting in numerous other manufacturers selling products that compete directly with our products. Internationally, our Residential segment products face more competition than in the U.S.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Guiding Principles and our Purpose, Vision, and Mission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guiding principles, we believe our success is deeply rooted in caring relationships built on trust and integrity. We believe these relationships are the foundation of our market leadership in innovation and solutions that make outdoor environments beautiful, productive and sustainable. We are committed to fostering a meaningful and enriching culture and engaging employee experience. We believe our commitment to employee wellness and environmental stewardship create a sense of community, allowing employees to take pride in their jobs and live the TTC values.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commitment to our human capital resources is key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Purpose: To help our customers enrich the beauty, productivity and sustainability of the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Vision: To be the most trusted leader in solutions for the outdoor environment. Every day. Everywhere.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To deliver superior innovation and to deliver superior customer care.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guided further by our global Code of Conduct, which provides a framework for our actions and is the foundation of our partnership with TTC stakeholders—customers, suppliers, shareholders, communities, employees and others. Our goal is to foster a culture of trust and respect for all stakeholders and create a productive, supportive and thriving work environment for all TTC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we employed an average of 11,464 employees. The total number of employees as of October 31, 2024 was 11,108.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Unions and Collective Bargaining Agreements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2024, approximately 10.5 percent of our employees were represented by a union under a collective bargaining agreement. Our collective bargaining agreements typically are for terms of three to five years, and from time to time, our collective bargaining agreements expire and come up for renegotiation. Our four collective bargaining agreements expire in October 2025, March 2026, May 2026, and October 2026. We consider our employee relations to be good and currently do not expect any significant difficulties in renewing these agreements. We have not experienced any strikes or work stoppages in the past three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safety of our employees is paramount to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 practices are also regularly reviewed by management and TTC's Board of Directors, and featured in our employee newsletters and town halls.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all employees with the opportunity to share their opinions and feedback on our culture through an engagement survey. Results of the survey are measured and analyzed to enhance the employee experience, promote employee retention, drive change and leverage the overall success of our organization.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strive to prepare our teams and talent to deliver on the company's commitments to excellence by providing all employees a wide range of professional development opportunities, both formal and informal, at all stages in their careers. Our formal career development offerings include apprenticeships, job training, mentoring and coaching, leadership development, tuition reimbursement, a diverse curriculum of learning programs, leadership development experiences, vocational training and external partnerships across the globe. One of our unique leadership development programs is our Leadership in Motion program, a learning experience for nominated current and future TTC leaders to enhance leadership skills and collaborate with TTC colleagues in a cross-functional setting. The global program expands employee networks, provides visibility within the company, and builds capabilities needed for TTC’s future. In small groups, participants work on a challenge critical to the company, such as technological innovation, communications, diversifying the workforce and talent retention. Over three months, they learn as a team, use newly gained skills and ultimately present recommendations related to their challenge to our Enterprise Leadership Team. Insights, themes and recommendations from cohort teams have contributed to actions in many areas for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and wellness of our employees are critical to our success. We provide our employees with access to a variety of innovative, flexible and convenient health and wellness programs, which include but are not limited to, 24/7 call-in service access to a licensed physician, on-site nurses at some of our manufacturing sites to monitor employee health, safety, and wellness on a daily basis, various mobile apps that provide physical and mental well-being support. Such programs are designed to support employees’ physical and mental health by providing tools and resources to help them improve or maintain their health status and encourage engagement in healthy behaviors.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culture, rooted in excellence, integrity, and belonging, promotes a safe and welcoming environment where all employees can be their authentic self, both at work and beyond. We strive to nurture an inclusive community where everyone thrives – our colleagues, customers, partners, and communities. Our team members are encouraged to leverage their unique strengths and experiences to address challenges and drive innovation. We celebrate the diverse cultures and backgrounds of those who enrich our world daily. Together, we strive to foster a company culture and industry reputation that embodies collaboration and a genuine sense of belonging for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compensation market benchmarking on a regular basis to provide competitive pay to attract and retain superior talent. In addition to annual base salaries, our total rewards, which vary by country/region, can include annual incentive opportunities, stock-based compensation awards, a 401(k) plan with employee matching opportunities, discretionary profit-sharing contribution to employee retirement plan accounts, healthcare and insurance benefits, health savings and flexible spending accounts, paid time off, family leave, family care resources, flexible work schedules, adoption and surrogacy assistance, employee assistance programs, tuition assistance, and on-site services, such as health centers and fitness centers, among many others.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Giving and Community Involvement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heart of TTC is our commitment to people, and we believe that a satisfying life comes from contributing to, and engaging with, the communities where we live and work. Community support is core to our culture and our efforts reflect a dedication to action and engagement that enriches the lives, communities, industries and land that we serve. Our community efforts center on four areas: Employees, Community, Industry and "Land. Water. Thrive." Through employee volunteerism and donations, corporate giving, and in-kind product donations, we enhance and beautify outdoor spaces while also supporting the shared value of our partner communities and organization.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around the world volunteer with local charitable and civic organizations to complete beautification, preservation, water conservation, community health, and housing and youth enrichment projects, including supporting the beautification and preservation of outdoor environments, water conservation, community health, housing and youth enrichment. To help our employees make a meaningful impact on organizations that are important to them and us, we provide eligible employees in the U.S. up to 20 hours paid time off to volunteer.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"Land. Water. Thrive." effort, we provide immersion experiences for our employees to work with smallholder farmers in developing countries to improve land productivity and agricultural water practices while also strengthening our employees’ empathy and customer-focused approach to problem solving.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upholding human rights in all respects of our global operations under The Toro Company Human Rights Policy. We believe that we have a responsibility to ensure that human rights are understood and observed in every location in which we operate. We strive to foster safe, inclusive and respectful workplaces wherever we do business, including prohibiting all forms of child labor and forced labor including indentured labor, bonded labor, military labor, slave labor and any form of human trafficking. We expect our business partners and suppliers to comply with local labor and employment laws wherever they operate. We encourage each other to seek guidance on our Code of Conduct or other issues without fear of retaliation of any kind. Employees may anonymously report concerns, misconduct or suspected violation of the Code through our confidential web-based reporting tool or over the telephone through our Ethics helpline.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 information is included in our Fiscal 2023 Sustainability Report, which is available on our website under the "Sustainability" section of our website located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Information contained or referenced on our website, including in our Sustainability Report, is not incorporated by reference and does not form a part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Other Governmental Regulation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recycling and waste disposal;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79" w:lineRule="exact"/>
        <w:rPr>
          <w:sz w:val="20"/>
          <w:szCs w:val="20"/>
          <w:color w:val="auto"/>
        </w:rPr>
      </w:pPr>
    </w:p>
    <w:p>
      <w:pPr>
        <w:jc w:val="both"/>
        <w:ind w:left="340" w:hanging="332"/>
        <w:spacing w:after="0" w:line="25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EPA, the California Air Resources Board ("CARB"), and similar regulators in other U.S. states and international jurisdictions in which we sell our products have phased in, or are phasing in, emission regulations setting maximum emission standards for certain equipment. Specifically, these agencies from time to time adopt increasingly stringent engine emission regulations. Following the U.S. EPA implementation of Tier 4 emission requirements applicable to diesel engines, China, the European Union ("EU") and its member states, and the United Kingdom have adopted similar regulations. CARB's two phase implementation of net-zero emissions requirements for small off-road engines, like those contained in many lawn and garden equipment, will begin for all products with model year 2024 and onward. In September 2024, Australian regulators adopted the Treasury Laws Amendment (Financial Market Infrastructure and Other Measures) Bill 2024, which requires large and medium-sized companies to begin reporting on climate-related risks and opportunities, and greenhouse gas (GHG) emissions, in their annual reports for financial years commencing after January 1, 2025.</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SEC adopted rules under SEC Release No. 33-11275, The Enhancement and Standardization of Climate-Related Disclosures for Investors, which requires the disclosure of material Scope 1 and Scope 2 GHG emissions and other climate-related topics in annual reports and registration statements. The state of California passed two bills that will require certain companies doing businesses in the state to disclose GHG emissions and climate-related financial risk information. Senate Bill 253 (SB 253) requires that CARM develop and adopt regulations to require the annual disclosure of Scope 1, 2 and 3 GHG emissions, with certain GHG emissions data subject to third party assurance. The bill requires disclosure of Scope 1 and 2 GHG emissions beginning in 2026 for the 2025 reporting year and disclosure of Scope 3 GHG emissions beginning in 2027 for the 2026 reporting year. SB 253 would be effective for public and private companies with total annual revenues exceeding $1 billion and that do business in California. Senate Bill 261 (SB 261) requires biennial disclosures posted on a company’s website related to climate-related financial risks and the measures a company has adopted to reduce and adapt to such risks. The bill requires disclosure of the climate-related financial risk disclosures beginning in 2026 for the 2025 reporting year. SB 261 is effective for public and private companies with total annual revenues exceeding $500 million. Both SB 253 and 261 have been challenged in the U.S. District Court for the Central District of California. Further, on September 27, 2024, the California Governor amended both SB 253 and SB 261 by signing into law Senate Bill 219 (SB 219). SB 219 extends the time in which CARB has to promulgate implementing regulations for SB 253 until July 1, 2025, a delay of six months, but does not otherwise change the reporting deadlines in SB 253 or SB 261. The European Union Corporate Sustainability Reporting Directive applies to both EU and non-EU in-scope entities and would require them to disclose various metrics relating to climate change, biodiversity, workforce,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supply chain, and business ethics. TTC is a reporting entity under these laws and management is monitoring the development of implementing regulations.</w:t>
      </w: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government, several U.S. states, and certain international jurisdictions in which we sell our products, including the EU and each of its member states, have implemented one or more of the following: product life-cycle laws, rules, or regulations, which are intended to reduce waste and environmental and human health impact, and require manufacturers to label, collect, dispose, and recycle certain products, including some of our products, at the end of their useful life, including, but not limited to (i)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 rules, or regulations that require notification of use of certain chemicals, or ban or restrict the use of certain chemicals; (iv) the Battery Directive,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(vi) energy efficiency laws, rules, or regulations, which are intended to reduce the use and inefficiencies associated with energy and natural resource consumption and require specified efficiency ratings and capabilities for certain products; (vii) outdoor noise laws, which are intended to reduce noise emissions in the environment from outdoor equipment; (viii) conflict minerals laws, such as the Dodd-Frank Wall Street Reform and Consumer Protection Act and the rules promulgated by the SEC, which require specific procedures for the determination and disclosure of the use of certain minerals, known as "conflict minerals," which are mined from the Democratic Republic of the Congo and adjoining countries; (ix) other product substance restriction laws, some of which require certain labeling of products, such as California Proposition 65; (x) electromagnetic compatibility laws and regulations, such as the EU Electromagnetic Compatibility directive, and similar laws and regulations in other markets; (xi) wireless product type approvals and licenses in global markets and the EU Radio Equipment Directive and similar laws and regulations related to wireless and radio usage; and (xii) supply chain transparency laws and regulations addressing modern slavery and human trafficking.</w:t>
      </w:r>
    </w:p>
    <w:p>
      <w:pPr>
        <w:spacing w:after="0" w:line="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various federal, state, and international laws, rules, and regulations that are designed to protect users, including rules and regulations of the U.S. Consumer Product Safety Commission.</w:t>
      </w: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ind w:left="340" w:hanging="332"/>
        <w:spacing w:after="0" w:line="26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global competitive position. With respect to acquired properties and businesses, we conduct due diligence regarding potential exposure to environmental liabilities and overall regulatory compliance but cannot be certain that we have identified or will identify all adverse environmental conditions or non-compliance with applicable laws, rules and regulations. 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Available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Toro Company was incorporated in Minnesota in 1935 as a successor to a business founded in 1914 and reincorporated in Delaware in 1983. Our executive offices are located at 8111 Lyndale Avenue South, Bloomington, Minnesota, 55420-1196, and our telephone number is (952) 888-8801.</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We make available, free of charge on our website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report, on our website. The information contained on our website or connected to our website is not incorporated by reference into, and should not be considered part of, this Annual Report on Form 10-K.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material risk factors known to us that could materially adversely affect our business, reputation, operating results, industry, financial position, or future financial or operational performance. The risks described below are not the only risks we face. Additional risks not presently known to us or that we currently deem immaterial may also impair our business, reputation, operating results, industry, financial position, or future financial or operational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not complete and should be read in conjunction with the more detailed risk factors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Operational Risks</w:t>
      </w:r>
    </w:p>
    <w:p>
      <w:pPr>
        <w:spacing w:after="0" w:line="121"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earnings have been and will likely continue to be adversely affected by economic conditions and outlook in the locations in which we conduct business.</w:t>
      </w: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enhance existing products and develop and market new products, demand for our products may decrease adversely impacting our net sales and earnings.</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and/or shortages in commodities, components, parts, or accessories has adversely affected and could continue to adversely affect our business.</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on several factors, including changes to the golf, grounds, irrigation, and construction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on several factors, including product placement, consumer confidence and spending levels and changing customer buying patterns.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have adversely impacted and could continue to adversely impact our operating results.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which could harm our business and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commodities, components, parts, and accessories have adversely affected and could continue to adversely affect our profit margins.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facilities and those of our suppliers and other third parties.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a strong, effective labor force.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other operating results are dependent upon us and our channel customers maintaining appropriate inventory levels.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channel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terms of credit offered to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effective information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involve risk.</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disruptions to our operations from time to time as result of facility changes and renovations.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recent U.S. presidential election, including the imposition, or threat of imposition, of additional tariffs.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121" w:lineRule="exact"/>
        <w:rPr>
          <w:sz w:val="20"/>
          <w:szCs w:val="20"/>
          <w:color w:val="auto"/>
        </w:rPr>
      </w:pPr>
    </w:p>
    <w:p>
      <w:pPr>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pursue acquisitions and alliances, strong customer relations, and new joint ventures, investments, and partnerships and our recent activities in this regard involve risk and may prove to be unsuccessful.</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environmental, health and safety laws and regulations as well as the impact of increased scrutiny on our environmental, social and governance (“ESG”) practices, our ability to meet our ESG company goals, and public perceptions that our products are not environmentally friendly or that our practices are not sustainable could impact our reputation.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our ability to achieve our financial projections or other business initiatives, including our Amplifying Maximum Productivity (“AMP”) initiative, in the time periods that we anticipate or at all.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impairment, restructuring, and other charges from time to time which harm our operating results.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may harm our operating results.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cost of our credit arrangements and any downgrade in our credit ratings could adversely affect our access to and increase the cost of such arrangements.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and policies and/or assumptions underlying estimates could harm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21" w:lineRule="exact"/>
        <w:rPr>
          <w:sz w:val="20"/>
          <w:szCs w:val="20"/>
          <w:color w:val="auto"/>
        </w:rPr>
      </w:pPr>
    </w:p>
    <w:p>
      <w:pPr>
        <w:ind w:left="34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trademarks, and contractual provisions may be insufficient to protect our proprietary rights, or we may infringe the proprietary rights of others.</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which is subject to extensive regulation, involves legal and regulatory risks.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quality issues, product liability claims, and other litigation from time to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34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financial projections or other business and productivity initiatives, which could have an adverse effect on our business, operating results, and financial condition.</w:t>
      </w:r>
    </w:p>
    <w:p>
      <w:pPr>
        <w:ind w:left="340" w:hanging="332"/>
        <w:spacing w:after="0" w:line="26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executive and other talent or successfully implement key employee transitions, we may be unable to meet strategic objectives and our business could suffer.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 earnings have been and could continue to be adversely affected by economic conditions and outlook in the locations in which we conduct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economic conditions and outlook in the U.S. and in other countries in which we conduct business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government shutdowns;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enhance existing products and develop and market new products, demand for our products may decrease.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our strategies is to develop innovative, customer-valued and high-quality products to generate revenue and earnings growth. In the past, our sales from new products, which we define as those introduced in the current and previous two fiscal years, have represented a significant portion of our net sales and are expected to continue to represent a significant portion of our future net sales. We may not be able to compete as effectively and ultimately satisfy the needs and preferences of our customers, unless we can continue to enhance existing products and develop new and innovative products, including by incorporating new, emerging, and/or disruptive technologies that may become preferred by our customers. For example, we have the transition risk of developing and marketing electric and alternative fuel products to meet market demands for less greenhouse gas intensive products.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 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and/or shortages in the availability of commodities, components, parts, or accessories has, and could continue to, adversely affect our business.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supply chain disruptions, natural disasters, antidumping and countervailing duty petitions regarding certain engines imported into the U.S. from China, and other tariffs have, to various and differing degrees, impacted the availability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commodities, components, parts, and accessories used in our products. In addition, while most of our commodities, components, parts, or accessories are generally commercially available from a number of sources, certain items are sourced 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This occurred at times during the past couple of years. Any continued or new disruption or shortages in the availability of commodities, components, parts, or accessories, including as a result of labor staffing, workforce shortage, or other challenges that our suppliers may experience as a result of financial hardship,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including conditions exacerbated by global climate change, present chronic and acute physical risks, and have previously impacted, and may continue to impact, demand for some of our products and/or cause disruptions in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Weather conditions in particular geographic regions have adversely impacted, and will likely in the future, adversely affect the sales, demand, and field inventory levels and seasonality trends of some of our products. Weather conditions also have disrupted our own manufacturing and distribution facilities and our supply chain, which has impacted our ability to manufacture product to fulfill customer demand, and such disruptions may occur in the future. For example, drought or unusually wet conditions have had, and may continue to have, an adverse effect on sales of certain Residential and Professional mowing equipment products. Unusually rainy weather or severe drought conditions that result in watering bans, or otherwise, have had, and may continue to have, an adverse effect on sales of our irrigation products, and lower snowfall accumulations in key markets have had, and may continue to have,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facilities and other operations and those of our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are 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our operational results. Additionally, increased frequency and intensity of weather events due to climate change could lead to lost sales as customers prioritize basic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Professional segment includes a variety of products that depend on certain and varied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Professional segment includes a variety of products that are sold by distributors or dealers, or directly to government customers, rental companies, professional and other users, including homeowners, engaged in maintaining and creating properties and landscapes, such as golf courses, sports fields, residential and commercial properties and landscapes, and governmental and municipal properties. Any one or a combination of the following factors, among others, have in the past resulted and could in the future result in a decrease in spending and demand for our products, resulting in an adverse effect on our Professional segment net sales and earnings:</w:t>
      </w:r>
    </w:p>
    <w:p>
      <w:pPr>
        <w:spacing w:after="0" w:line="75" w:lineRule="exact"/>
        <w:rPr>
          <w:sz w:val="20"/>
          <w:szCs w:val="20"/>
          <w:color w:val="auto"/>
        </w:rPr>
      </w:pPr>
    </w:p>
    <w:p>
      <w:pPr>
        <w:ind w:left="340" w:right="2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for golf courses resulting from a reduction in the level of interest in the game of golf and/or a decrease in rounds played, memberships, and/or food and beverage sales, as applicable;</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investment in golf course renovations and improvements;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new golf course development and golf course closures;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and business spending on property maintenance, such as lawn care and snow and ice removal activities;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reduced levels of infrastructure improvements and other construction activities;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construction activities for oil, gas, telecommunication, and other utility distribution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acceptance of, and demand for, ag-irrigation solutions for agricultural production;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or credit on acceptable terms for our customers to finance new product purchases;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and/or government budgetary constraints resulting in reduced spending for grounds maintenance or construction equipment.</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elimination, reduction, or changes in the placement of shelf space assigned to our Residential segment products at mass retailers and home centers have in the past adversely affected and, in the future, could adversely affect our Residential segment net sales. Our Residential segment net sales also depend upon the buying patterns of consumers and changes to buying patterns could result in reduced sales. In addition, as consumers purchase products at home centers and mass retailers that typically offer broader and lower price points than dealers, demand for and sales of our Residential segment products purchased at mass retailers and home centers, as compared to dealers and hardware retailers, have increased, adversely affecting our margins.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have in the past and could in the future be impacted as a result of the timing of significant sales or promotional events for our Residential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mix could adversely impact our financial performance, including profit margins and net earnings.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harm our business and operating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 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low barriers to entry resulting in numerous other manufacturers selling products that compete directly with our products. Internationally, our Residential segment products typically face more competition than in the U.S. because many foreign competitors design, manufacture, market, and sell products in their respective countries. In addition, 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commodities, components, parts, and accessories or our other costs of doing business, have, and could continue to, adversely affect our profit margins and businesses.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accessories. Increased costs and/or inflation, increased tariff,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during the past couple of years, we experienced higher material, manufacturing, and freight costs, which adversely affected our margins, and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efficient operation of our facilities and those of our suppliers, channel customers, mass retailers, and home centers where our products are sold.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downtime and/or the inability to produce products at our facilities, and those of our suppliers, or other disruptions have occurred, and could continue to occur, as a result of several factors, including supply chain challenges, labor shortages, natural disasters, inclement weather, man-made disasters or other external events, such as terrorist acts or acts of war, pandemics and/or epidemics, boycotts and sanctions, widespread criminal activities, or protests and/or social unrest, or other events, at or in proximity to any of our facilities or in our manufacturing or other operations, or those of our channel customers, mass retailers or home centers where our products are sold, or suppliers. A work slowdown, strike, or similar action could occur at any one of our facilities, or the facilities of our channel customers and suppliers, and such facilities could fail to renew or enter into new collective bargaining agreements or may have to enter into a new collective bargaining agreement at a facility not currently covered by an agreement. Furthermore, we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channel customers.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or channel partners, to hire and/or retain an adequate labor force could adversely affect our business, operating results, and reputation.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labor needs, and those of our suppliers and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channel partners, manufacture products or conduct business, or other factors, we, or our suppliers and channel partners, may not have a sufficient pool of individuals with the right skills and experience available to fulfill labor requirements on a cost-effective basis or otherwise.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suppliers and channel partners, are unable to hire, train, and/or retain a labor force to adequately staff manufacturing operations, perform service or warranty work, or other necessary activities, we could experience disruptions in our manufacturing and other processes, which have in the past adversely impacted, and could continue to adversely impact, our business, operating results, and reputation.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and/or working capital are negatively impacted when we underestimate or overestimate demand for our products or do not maintain appropriate inventory levels.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considering production capacity, timing of shipments, existing sales order backlog, and field inventory levels. Managing inventory levels during an uncertain macroeconomic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in, and could continue to result in, manufacturing inefficiencies and related unfavorable manufacturing variances that have negatively impacted, and could continue to impact, our financial results. Our net sales, margins, net earnings, and/or working capital are negatively impacted when we underestimate or overestimate channel or retail demand for our products, we are not able to manufacture product to fulfill customer demand and existing and future sales order backlog, and/or we do not produce or maintain appropriate inventory levels. Furthermore, such impacts hinder our 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meet customer demand, result in the loss of customers, and could cause us to incur charges associated with inventory valuation adjustments for excess and obsolete inventories.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are subject to the inventory management decisions of our channel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relating to the inventory management decisions and operational and sourcing practices of our distribution network. Our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composition of, financial viability of, and the relationships with, our channel customers could negatively impact our business and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fail to maintain an effective network of channel partners, including distributors, dealers, mass retailers, and home centers, for our products, we may not have adequate market coverage for the optimal level of sales of our products. Additionally, our channel customers may not commit the necessary resources to market and sell our products as we would expect, and/or they may not be successful in marketing and ultimately selling our products. Any weak demand for, or quality issues with, our products may cause our channel customers to reduce or terminate their relationships with us or adversely affect our ability to engage new dealers and distributors or maintain or obtain shelf space at mass retailers and home centers. Changes in the ownership or control of our channel customers could also adversely affect our relationships with them. If we are not able to maintain effective distribution channels, if our channel customers are not successful in marketing and selling our products, or if we experience a significant reduction or cancellation or change in the size and timing of orders from our channel customers, our sales could decline and have an adverse effect on our business and operating results.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adverse economic conditions, business conditions or other events cause a decline in sales by our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availability and terms of credit offered to our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changes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effective operation of our information systems, software, or information security practices and those of our business partners or third-party service providers.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many information systems and other software that are critical to our business and certain of our products, some of which are managed by third parties. These information systems and software are used to record, process, summarize, transmit, and store electronic information, and to manage or support a variety of business processes and activities, 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 As we continue to develop internet-connected products and other new, emerging, and/or disruptive technologies, similar risks may also be present in the systems, technology, and software installed within such products.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a result of the SEC rule on cybersecurity disclosure, we are required to disclose, on a current basis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 We have incurred significant costs in an effort to detect and prevent security breaches and incidents, and we may face increased costs and requirements to expend substantial resources in the event of an actual or perceived security breach or incident and to comply with the SEC cybersecurity rule.</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or failure.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incorporate traditional and generative artificial intelligence (AI) solutions into our information systems, products, offerings, services and features, and these solutions may become important in our operations over time. The ever-increasing use and evolution of technology, including cloud-based computing and AI, creates opportunities for the potential loss or misuse of personal data that forms part of any data set and was collected, used, stored, or transferred to run our business, and unintentional dissemination or intentional destruction of confidential information stored in our or our third party providers' systems, portable media or storage devices, which may result in significantly increased business and security costs, a damaged reputation, administrative penalties, or costs related to defending legal claims. If the content, analyses, or recommendations that AI programs assist in producing are or are alleged to be deficient, inaccurate, or biased, our business, financial condition, and results of operations and our reputation may be adversely affected. AI programs may be costly and require significant expertise to develop, may be difficult to set up and manage, and require periodic upgrades. There is also a risk that we may not have access to the technology and qualified AI personnel resources to adequately incorporate ongoing advancements into our AI initiatives, including access to the licensing of key intellectual property from third parties. Our competitors or other third parties may incorporate AI into their products more quickly or more successfully than us, which could impair our ability to compete effectively and adversely affect our results of operations. Our competition may have access to greater financial and technological resources, giving them a competitive advantage in recruiting, motivating, and retaining sought-after AI professionals. AI also presents emerging ethical issues and if our use of AI becomes controversial, we may experience brand or reputational harm, competitive harm, or legal liability. The rapid evolution of AI, including potential government regulation of AI, will require significant resources to develop, test and maintain our platform, offerings, services, and features to help us implement AI ethically in order to minimize unintended, harmful impact.</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information technology systems require an ongoing commitment of significant resources to maintain, protect, and enhance existing systems and develop new systems. This enables us to keep pace with continuing changes in information processing technology, evolving legal and regulatory standards, the increasing need to protect employee and customer information, changes in the techniques used to obtain unauthorized access to data and information systems, and the information technology needs associated with our evolving products. There can be no assurance that our efforts (including, but not limited to, consolidating, protecting, upgrading, and expanding our systems and capabilities, continuing to build security into the design of our products, and developing new systems to keep pace with continuing changes in information processing technology, including, but not limited to, generative AI platforms) will be successful or that additional systems issues will not arise in the future. For additional information regarding the company's cybersecurity risk management, strategy, and governance, refer to Item 1C. Cybersecurity.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significant management attention and financial resources, expose us to difficulties presented by international economic, political, legal, regulatory, accounting, and business factors, and may not be successful or produce desired levels of net sales and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 were 20.1 percent, 20.8 percent, and 19.5 percent of our total consolidated net sales for fiscal years 2024, 2023, and 2022,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the impact of sovereign debt defaults by certain European countries, and current wars and related sanctions and other geopolitical tensions could adversely affect our international net sales.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 countries in which we manufacture or sell our products, or in which we otherwise have a presence are, to some degree, subject to political, economic, and/or social instability. As a result, our international operations expose us and our representatives, agents, and channel customers to risks inherent in operating in foreign jurisdictions. These risks include:</w:t>
      </w:r>
    </w:p>
    <w:p>
      <w:pPr>
        <w:spacing w:after="0" w:line="6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weakened economic conditions;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and/or epidemics;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customizing products for foreign countries;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increases in infrastructure costs including legal, tax, accounting, and information technology;</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enhanced trade restrictions and restrictions on the activities of foreign agents, representatives, and channel customers;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other non-tariff barriers to trade;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pricing pressures;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tax rates and adverse tax consequences, including restrictions on repatriating cash and/or earnings to the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performance based on our geographic mix of sales;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the war between Ukraine and Russia, the war between Israel and Hamas, geopolitical tensions and foreign policy changes, acts of war or terrorist acts;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enforcing or defending intellectual property rights;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rules, regulations and standards, including rules relating to taxes, environmental, health and safety matters.</w:t>
      </w:r>
    </w:p>
    <w:p>
      <w:pPr>
        <w:spacing w:after="0" w:line="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renovating and expanding certain office, manufacturing, and other facilities and could experience disruptions to our operations in connection with such efforts.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pursue acquisitions and alliances, strong customer relations, and new joint ventures, investments, and partnerships and our recent activities in this regard involve risk and may not prove to be successful.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in September 2023, we announced a strategic partnership with Lowe's.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 partnerships may involve a number of risks, the occurrence of which could adversely affect our business, reputation, financial condition, and operating results, including:</w:t>
      </w:r>
    </w:p>
    <w:p>
      <w:pPr>
        <w:spacing w:after="0" w:line="8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customers, distributors, or dealers of the acquired businesses or adverse effects on existing business relationships with suppliers, customers, distributors, and dealers;</w:t>
      </w: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challenges in transitioning distributors and dealers of acquired businesses to available floor plan financing arrangements;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valid intellectual property rights of others;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occurrence of non-recurring charges, or other potential financial accounting or reporting impacts.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during the third quarter of fiscal 2023, we recorded non-cash impairment charges of $18.0 million related to the indefinite-lived Spartan® trade name intangible asset and $133.3 million related to Intimidator goodwill. These impairment charges resulted in a $36.7 million income tax benefit (deferred tax asset) associated with the remaining tax deductible basis in goodwill and other intangible assets.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regarding our ESG practices could impact our reputation.</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Increasing governmental and societal attention to ESG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ESG priority issue areas. To address this growing set of matters, we have taken several actions, including hiring a new executive officer with responsibility for sustainability in July 2023, devoting additional dedicated employee resources, and creating a cross-functional/business sustainability leadership team to further develop and implement an enterprise-wide sustainability strategy. In June 2023, we released our sustainability report for fiscal 2022, which highlights certain aspirations and goals related to ESG matters, such as goals to increase battery and hybrid product sales, plans to reduce certain GHG emissions over time, and goals to increase the number of women and racial and ethnic minorities in leadership positions. No assurance can be provided that we will achieve our new sustainability goals. It is possible that we may be unsuccessful in the achievement of our ESG goals, on a timely basis or at all, or that the costs to achieve those goals become prohibitively expensive. Furthermore, our stakeholders may not be satisfied with our initiatives or efforts or the speed at which we are progressing towards any such aspirations and goals. Additionally, organizations that inform investors on ESG matters have developed rating systems for evaluating companies on their approach to ESG. Unfavorable ratings may lead to negative investor sentiment, which could negatively impact our stock price. Any failure, or perceived failure, to respond to ESG concerns could harm our business and reputation. Certain challenges we face in the achievement of our ESG objectives are also captured within our ESG reporting in our sustainability report for fiscal 2022, which is not incorporated by reference into and does not form any part of this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non-cash impairment charges during the third quarter of fiscal 2023 which adversely affected our third quarter and full year fiscal 2023 operating results and we may be required to incur additional future impairment and other charges, which could adversely affect our operating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and other business combinations,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are tested for impairment at the individual indefinite-lived intangible asset or asset group level, as appropriate.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determine that the anticipated future cash flows from our reporting units, indefinite-lived intangible assets or asset groups, or long-lived asset groups may be less than their respective carrying values, our goodwill, indefinite-lived intangible assets, and/or long-lived assets may be deemed to be impaired. If this occurs, applicable accounting rules may require us to write 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 down occurs.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during the third quarter of fiscal 2023, we recorded non-cash impairment charges of $18.0 million related to the indefinite-lived Spartan trade name intangible asset and $133.3 million related to Intimidator goodwill. These impairment charges resulted in a $36.7 million income tax benefit (deferred tax asset) associated with the remaining tax deductible basis in goodwill and other intangible assets. As of October 31, 2024, we had goodwill of $450.3 million, which is maintained in various reporting units, and indefinite-lived intangible assets of $271.6 million, which together comprise 20.1 percent of our total assets as of October 31, 2024. Any future impairment charges could be significant and could adversely affect our future consolidated operating results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have adversely affected and could continue to adversely affect our operating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rates have affected our net sales, net earnings, and operating results in the past and could affect them in the future, in some cases materially.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and operating restrictions and counterparty risk as a result of our credit arrangements.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arrangements, including our revolving credit facility, term loan and senior notes,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 disadvantage us relative to other companies that may be subject to fewer, if any, restrictions or may otherwise adversely affect our business.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terms of our credit arrangements and indentures, they could be terminated and amounts thereunder could become due and payable.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that we will be able to comply with all of the terms of our credit arrangements and indentures, particularly the financial covenants. Our ability to comply with such terms depends on the success of our business and 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increase our cost of funding and/or adversely affect our access to funding.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or tax standards and policies and/or assumptions utilized in determining accounting or tax estimates could adversely affect our results of operations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("GAAP"), we must make decisions that impact our results of operations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accounting policies and new accounting pronouncements, refer to Part II, Item 7, "Management's Discussion and Analysis of Financial Condition and Results of Operations," in the section entitled "Critical Accounting Policies and Estimates" and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and Related Data, </w:t>
      </w:r>
      <w:r>
        <w:rPr>
          <w:rFonts w:ascii="Times New Roman" w:cs="Times New Roman" w:eastAsia="Times New Roman" w:hAnsi="Times New Roman"/>
          <w:sz w:val="18"/>
          <w:szCs w:val="18"/>
          <w:color w:val="auto"/>
        </w:rPr>
        <w:t>of the Notes to Consolidated Financial Statements included in Part II, Item 8,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trademarks, and contractual provisions may be insufficient to protect our proprietary rights and intellectual property from others who may sell similar products and our products may infringe the valid proprietary rights of others.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the outcome of any such litigation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rules, policies, and regulations, with which our compliance is costly and not guaranteed.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numerous international, federal, state, municipal and other governmental laws, rules, policies, regulations, and orders ("Laws")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Laws may adversely affect our operating results, including, (i) to address health and safety requirements, (ii) taxation and tax policy changes, tax rate changes, new tax laws, or revised tax law interpretations or guidance, which individually or in combination may cause our effective tax rate to increase or result in tax charges,</w:t>
      </w:r>
    </w:p>
    <w:p>
      <w:pPr>
        <w:spacing w:after="0" w:line="5" w:lineRule="exact"/>
        <w:rPr>
          <w:sz w:val="20"/>
          <w:szCs w:val="20"/>
          <w:color w:val="auto"/>
        </w:rPr>
      </w:pPr>
    </w:p>
    <w:p>
      <w:pPr>
        <w:jc w:val="both"/>
        <w:ind w:firstLine="8"/>
        <w:spacing w:after="0" w:line="253"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adoption of new, healthcare laws or regulations,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or data privacy requirements, such as the EU's General Data Protection Regulation, the California Consumer Privacy Act, and other emerging domestic and global data privacy and cybersecurity laws, may have similar consequences.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subject to rules limiting exhaust and other emissions and other climate-related rules and regulations in certain jurisdictions where we operate. Concern over climate change has resulted in, and could continue to result in, new legal or regulatory requirements designed to reduce or mitigate the effects of greenhouse gases. An example of such legislation is California's AB 1346, requires that most new sales of small off-road engines, such as those installed in certain of our products, including leaf blowers and lawnmowers, sold in the state of California on or after January 1, 2024 must be zero-emission.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compliance with applicable environmental laws is costly and not guaranteed.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manufacture, sale, and use of our products expose us to significant risks associated with product quality issues and product liability claims and other litigation from time to time. If a product liability claim, other claim or series of claims is brought against us for liabilities exceeding our insurance coverage, and it is ultimately determined that we are liable, our business could suffer. While we believe that we appropriately instruct and warn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defects can occur through our own product development, design, and manufacturing processes or through our reliance on third-parties for certain component design and manufacturing activities. Some of our products or product improvements were developed or modified relatively recently and defects or risks that we have not yet identified, such as quality issues or unanticipated use of our products, may give rise to warranty or other quality claims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subject to other litigation from time to time that could adversely affect our business, reputation, operating results or financial condition.</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our financial projections, sustainability goals, or other business and productivity initiatives, which could have an adverse effect on our business, operating results, and financial condition.</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generally provide financial projections such as our expected revenue growth and adjusted diluted earnings per share. These financial projections are based on management’s assumptions and expectations at the time made. Failure to achieve our financial projections could have an adverse effect on our business, operating results, and financial condition.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set certain aspirations and goals related to ESG matters, such as goals to increase battery and hybrid product sales, plans to reduce certain GHG emissions over time, and goals to increase the number of women and racial and ethnic minorities in leadership positions. We also set goals and objectives for the timing of certain accomplishments, initiatives and milestones regarding our business or operating results, including without limitation our "Amplifying Maximum Productivity" or AMP initiative, which is a multi-year productivity initiative intended to result in annualized cost savings of more than $100 million by fiscal 2027, driven by sustainable supply-base, design-to-value, route-to-market, and operational efficiency transformation. Whether we achieve our goals and objectives of such initiatives can vary due to several factors, including the risk factors described in this Annual Report on Form 10-K. It is possible that we may be unsuccessful in the achievement of our goals, on a timely basis or at all. A delay, failure or perceived failure or delay to achieve such goals and objectives in the time periods that we anticipate, or at all, could have an adverse effect on our business, operating results and financial condition, and the public perception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ability to attract and retain key executive and employees and successfully implement key employee transitions.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Our executive management team and board of directors have undergone significant changes during the past three years. Losing executive officers or other key employees, failure to identify, attract, or retain qualified leaders in the future, ineffective executive officer or other employee transitions, delays or the inability to hire necessary and qualified office or production employees due to employment 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protect the confidentiality, integrity, and availability of our critical systems and information, our enterprise risk management framework considers cybersecurity risk alongside other company risks, as part of our overall risk assessment process. We leverage an industry leading framework, the National Institute of Standards and Technology Cybersecurity Framework, which organizes cybersecurity risks into five categories: identify, protect, detect, respond and recover. We assess our maturity against that framework in partnership with an independent firm on at least an annual basis.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and manage our cybersecurity risk using various mechanisms, starting with threat intelligence, which provides us a necessary viewpoint to help us identify trends, understand how certain attacks may affect us, and prepare for evolutions in threat actor behavior that may require changes to our security posture. We monitor emerging trends and regulations related to information security, and implement appropriate changes, as needed, to our cybersecurity risk management program.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drive readiness, we perform periodic adversarial testing of our cybersecurity posture through penetration testing, using both internal resources and external expertise, as well as table-top and “red team” exercises to understand where processes or controls may be insufficient based on adversarial techniques. We have also implemented technical security controls, maintenance of certain backup and protective systems, physical and system securities measures, and data security protocols.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established information security policies and processes; deploy regular network and endpoint software updates on all company-managed systems and workstations to detect and prevent, among others, viruses, malicious code, unauthorized access, and phishing attempts; maintain a disaster recovery plan, and perform at least two disaster recovery exercises annually to validate and optimize our recovery efforts in event of a cybersecurity incident; and regularly engage third-party cybersecurity experts to conduct vulnerability assessments and penetration testing on our information networks, systems, and applications.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audit team performs regular assessments of our program and selected components. We also leverage retrospectives from previous cybersecurity incidents to understand weaknesses and to improve our security controls. We assess our critical suppliers regularly for cybersecurity risk and prescribe remediation activities when necessary. As a part of a collaborative defense approach, we regularly participate in multiple cybersecurity forums to share threat intelligence, best practices, and points of caution.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train our employees through annual security training, phishing simulations, and regular communications about timely cybersecurity topics and threats. We have a documented and well-tested cybersecurity incident response plan that guides us in responding, containing, and eradicating cybersecurity threats that have breached our preventative controls. Examples of relevant processes include steps for: assessing the severity of a cybersecurity threat; identifying the source of a cybersecurity threat, including whether the cybersecurity threat is associated with a third-party service provider; implementing cybersecurity countermeasures and mitigation strategies; and remediating and escalating cybersecurity incidents using cross-functional expertise. Our cybersecurity risk management program also includes risk-based processes related to overseeing and identifying cybersecurity risks associated with the use of third-party providers, including processes related to: conducting cybersecurity assessments of third-party service providers, including cybersecurity obligations in contract with third-party service providers; and receiving and responding to notification of cybersecurity incidents of third-party service providers. We regularly practice technical recovery.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Cybersecurity risks related to third-party IT providers and solutions are managed as part of our vendor security protocol that includes vendors, software, and cloud-based service providers. We partner with our vendors to minimize the customer data needed to provide services and ensure compliance with regulations. Vendors are reviewed annually to identify any changes to services, data requirements, and associated security and protections. Where applicable, vendors are contractually bound to protect customer data and support enforcement of all regulatory requirements. We proactively evaluate the cybersecurity risk of third-party IT providers and solutions by utilizing a repository of risk assessments and an external monitoring solution that includes threat intelligence to better inform us during contracting and vendor selection processes. When third-party risks are identified, we require those third-parties to agree by contract to implement appropriate security controls or refrain from doing business with them. Security issues are documented, tracked, and periodic monitoring is conducted for third-parties in order to mitigate risk.</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contractually requires suppliers, vendors and other third-parties with access to its information technology systems, sensitive business data or personal information to implement and maintain appropriate security controls and contractually restricts their ability to use the Company’s data, including personal information, for purposes other than to provide services to the Company, except as required by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is led by the Senior Manager of our Enterprise IT Security Risk and Compliance team, who reports to the Managing Director of Enterprise IT. The Senior Manager has over 30 years of IT experience, with over 20 years specializing in cybersecurity. He has strategic and operational responsibility for all aspects of the company’s cybersecurity program, including how cyber risks are identified and assessed and how the company prepares for, detects, responds, and recovers from cyber threats. Quarterly cybersecurity program updates and as-needed reporting on cybersecurity incidents are provided to the Chief Executive Officer, Chief Financial Officer, and General Counsel.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oversight for our cybersecurity program. The Audit Committee receives regular updates from management on the effectiveness of our cybersecurity program, reviews plans on how management will continually advance the program, and receives updates on special topics that help the committee provide effective oversight of the program.</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we cannot guarantee that our security measures will prevent all potential cybersecurity incidents or breaches. Like most companies, our systems are continually subjected to sophisticated and evolving cybersecurity threats, such as phishing, ransomware, social engineering, and advanced persistent threats. However, to date, we have not been subject to any incidents or successful cyber-attacks that materially impacted our operations or financial condition. Vulnerabilities could lead to significant additional expenses and an adverse effect on our reputation, business, results of operations, financial condition and cash flows. The Company has invested in developing and acquiring cybersecurity capabilities allowing us to monitor threats and manage incident response. We have also developed internal policies to mitigate cybersecurity incidents, including providing clear guidelines for incident classification and response. We recognize the importance of continued monitoring and improvement of our cybersecurity program, and will continue to invest in our security controls, incident response capabilities, and third-party vendor management protocols. Additional information on cybersecurity risks we face is included in Part I, Item 1A, "Risk Factors," which should be read in conjunction with the information in this section.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business operations require the use of various facilities and other properties for manufacturing, distribution, warehousing, engineering and product testing, sales and marketing, and other corporate activities. We generally consider our current facilities to be in good operating condition, suitable for their respective uses, and adequate for our current and future business needs as our business is presently conducted. However, as a matter of course, we review our facilities from time to time as we continue to optimize our global business operations and footprint and may determine that certain of our facilities should be expanded or exited, sold, or utilized in another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facilities are listed below by location, ownership, and function as of October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4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Facility Type/Use</w:t>
            </w:r>
          </w:p>
        </w:tc>
        <w:tc>
          <w:tcPr>
            <w:tcW w:w="22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0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Batesville, Arkansas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warehouse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 Cajon, California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Riverside, California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Office and test site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Sanford, Florida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Ankeny, Iowa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 Sterling, Kentucky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Iron Mountain, Michigan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test site, and warehouse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Bloomington,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headquarters, test site, and warehouse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Shakopee,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Windom,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Beatrice, Nebraska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Orrville, Ohio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Salem, Ohio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Perry, Oklahoma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 Paso, Texas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Laredo, Texas</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Weatherford, Texas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Baraboo,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Lake Mills,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Plymouth,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Tomah,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2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Beverley, Australia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Braeside, Australia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Oevel, Belgium</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Xiamen City, China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Althengstett, Germany</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Fiano Romano, Italy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office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Juarez, Mexico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Monterrey, Mexico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Ustron, Poland</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Manufacturing facility</w:t>
            </w:r>
          </w:p>
        </w:tc>
        <w:tc>
          <w:tcPr>
            <w:tcW w:w="2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Ploiesti, Romania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Manufacturing facility and test site</w:t>
            </w:r>
          </w:p>
        </w:tc>
        <w:tc>
          <w:tcPr>
            <w:tcW w:w="2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Owned</w:t>
            </w:r>
          </w:p>
        </w:tc>
      </w:tr>
      <w:tr>
        <w:trPr>
          <w:trHeight w:val="196"/>
        </w:trPr>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Hertfordshire, United Kingdom</w:t>
            </w:r>
          </w:p>
        </w:tc>
        <w:tc>
          <w:tcPr>
            <w:tcW w:w="2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Manufacturing facility, office, and test site</w:t>
            </w:r>
          </w:p>
        </w:tc>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Owned</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 which is incorporated into this Item 3 by reference.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list below identifies those persons designated by our Board of Directors as executive officers of the company. The list sets forth each such person's age and position with the company as of December 11, 2024, as well as other positions held by the executive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such executive officer was selected as an officer of the company.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Name, Age, and Position</w:t>
            </w:r>
          </w:p>
        </w:tc>
        <w:tc>
          <w:tcPr>
            <w:tcW w:w="7760" w:type="dxa"/>
            <w:vAlign w:val="bottom"/>
            <w:tcBorders>
              <w:top w:val="single" w:sz="8" w:color="auto"/>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Business Experience During the Last Five or More Years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Richard M. Olson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Chairman of the Board since November 2017 and President and Chief Executive Officer since November 2016. From September</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60, Chairman of the Board, President and Chief Executive</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2015 through October 2016, he served as President and Chief Operating Officer. From June 2014 through August 2015, he served as</w:t>
            </w:r>
          </w:p>
        </w:tc>
      </w:tr>
      <w:tr>
        <w:trPr>
          <w:trHeight w:val="20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Group Vice President, International Business, Global Ag-Irrigation Business and Distributor Development.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Jason P. Baab</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Strategy, Corporate Development, and Sustainability since July 2023. Prior to joining the company, he held several</w:t>
            </w:r>
          </w:p>
        </w:tc>
      </w:tr>
      <w:tr>
        <w:trPr>
          <w:trHeight w:val="144"/>
        </w:trPr>
        <w:tc>
          <w:tcPr>
            <w:tcW w:w="3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49, Vice President, Strategy, Corporate Development, and</w:t>
            </w:r>
          </w:p>
        </w:tc>
        <w:tc>
          <w:tcPr>
            <w:tcW w:w="7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Oshkosh Corporation, a global manufacturer of specialty vehicles and equipment, serving as Senior Vice President,</w:t>
            </w:r>
          </w:p>
        </w:tc>
      </w:tr>
      <w:tr>
        <w:trPr>
          <w:trHeight w:val="139"/>
        </w:trPr>
        <w:tc>
          <w:tcPr>
            <w:tcW w:w="3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Sustainability</w:t>
            </w:r>
          </w:p>
        </w:tc>
        <w:tc>
          <w:tcPr>
            <w:tcW w:w="77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Corporate Development, Strategy, and Venture Capital from October 2021 to June 2023 and Vice President from 2017 to September</w:t>
            </w:r>
          </w:p>
        </w:tc>
      </w:tr>
      <w:tr>
        <w:trPr>
          <w:trHeight w:val="188"/>
        </w:trPr>
        <w:tc>
          <w:tcPr>
            <w:tcW w:w="3480" w:type="dxa"/>
            <w:vAlign w:val="bottom"/>
          </w:tcPr>
          <w:p>
            <w:pPr>
              <w:spacing w:after="0"/>
              <w:rPr>
                <w:sz w:val="16"/>
                <w:szCs w:val="16"/>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348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Kevin N. Carpenter</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Vice President, Global Operations and Integrated Supply Chain since December 2021. Prior to joining the company, he held several</w:t>
            </w:r>
          </w:p>
        </w:tc>
      </w:tr>
      <w:tr>
        <w:trPr>
          <w:trHeight w:val="144"/>
        </w:trPr>
        <w:tc>
          <w:tcPr>
            <w:tcW w:w="3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50, Vice President, Global Operations and Integrated</w:t>
            </w:r>
          </w:p>
        </w:tc>
        <w:tc>
          <w:tcPr>
            <w:tcW w:w="77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roles at Carrier Global Corporation, a global provider of healthy, safe, sustainable and intelligent building and cold chain solutions,</w:t>
            </w:r>
          </w:p>
        </w:tc>
      </w:tr>
      <w:tr>
        <w:trPr>
          <w:trHeight w:val="139"/>
        </w:trPr>
        <w:tc>
          <w:tcPr>
            <w:tcW w:w="3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Supply Chain</w:t>
            </w:r>
          </w:p>
        </w:tc>
        <w:tc>
          <w:tcPr>
            <w:tcW w:w="77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serving as Vice President of Operations, Residential and Light Commercial Systems from June 2021 to November 2021, Vice</w:t>
            </w:r>
          </w:p>
        </w:tc>
      </w:tr>
      <w:tr>
        <w:trPr>
          <w:trHeight w:val="148"/>
        </w:trPr>
        <w:tc>
          <w:tcPr>
            <w:tcW w:w="3480" w:type="dxa"/>
            <w:vAlign w:val="bottom"/>
            <w:shd w:val="clear" w:color="auto" w:fill="CCEEFF"/>
          </w:tcPr>
          <w:p>
            <w:pPr>
              <w:spacing w:after="0"/>
              <w:rPr>
                <w:sz w:val="12"/>
                <w:szCs w:val="12"/>
                <w:color w:val="auto"/>
              </w:rPr>
            </w:pPr>
          </w:p>
        </w:tc>
        <w:tc>
          <w:tcPr>
            <w:tcW w:w="7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President of Quality and Continuous Improvement from August 2020 to May 2021, Vice President of Operations, Commercial</w:t>
            </w:r>
          </w:p>
        </w:tc>
      </w:tr>
      <w:tr>
        <w:trPr>
          <w:trHeight w:val="198"/>
        </w:trPr>
        <w:tc>
          <w:tcPr>
            <w:tcW w:w="3480" w:type="dxa"/>
            <w:vAlign w:val="bottom"/>
            <w:shd w:val="clear" w:color="auto" w:fill="CCEEFF"/>
          </w:tcPr>
          <w:p>
            <w:pPr>
              <w:spacing w:after="0"/>
              <w:rPr>
                <w:sz w:val="17"/>
                <w:szCs w:val="17"/>
                <w:color w:val="auto"/>
              </w:rPr>
            </w:pPr>
          </w:p>
        </w:tc>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HVAC from February 2020 to July 2020, and Vice President of Advanced Manufacturing from May 2019 to January 2020.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1" w:lineRule="auto"/>
        <w:rPr>
          <w:sz w:val="20"/>
          <w:szCs w:val="20"/>
          <w:color w:val="auto"/>
        </w:rPr>
      </w:pPr>
      <w:r>
        <w:rPr>
          <w:rFonts w:ascii="Times New Roman" w:cs="Times New Roman" w:eastAsia="Times New Roman" w:hAnsi="Times New Roman"/>
          <w:sz w:val="14"/>
          <w:szCs w:val="14"/>
          <w:b w:val="1"/>
          <w:bCs w:val="1"/>
          <w:color w:val="auto"/>
        </w:rPr>
        <w:t>Amy E. Dahl</w:t>
      </w:r>
    </w:p>
    <w:p>
      <w:pPr>
        <w:ind w:left="20"/>
        <w:spacing w:after="0"/>
        <w:rPr>
          <w:sz w:val="20"/>
          <w:szCs w:val="20"/>
          <w:color w:val="auto"/>
        </w:rPr>
      </w:pPr>
      <w:r>
        <w:rPr>
          <w:rFonts w:ascii="Times New Roman" w:cs="Times New Roman" w:eastAsia="Times New Roman" w:hAnsi="Times New Roman"/>
          <w:sz w:val="14"/>
          <w:szCs w:val="14"/>
          <w:color w:val="auto"/>
        </w:rPr>
        <w:t>50, Vice President, International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Angela C. Drake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52, Vice President and Chief Financial Officer</w:t>
      </w:r>
    </w:p>
    <w:p>
      <w:pPr>
        <w:spacing w:after="0" w:line="20" w:lineRule="exact"/>
        <w:rPr>
          <w:sz w:val="20"/>
          <w:szCs w:val="20"/>
          <w:color w:val="auto"/>
        </w:rPr>
      </w:pPr>
      <w:r>
        <w:rPr>
          <w:sz w:val="20"/>
          <w:szCs w:val="20"/>
          <w:color w:val="auto"/>
        </w:rPr>
        <w:br w:type="column"/>
      </w:r>
    </w:p>
    <w:p>
      <w:pPr>
        <w:ind w:right="240"/>
        <w:spacing w:after="0" w:line="253" w:lineRule="auto"/>
        <w:rPr>
          <w:sz w:val="20"/>
          <w:szCs w:val="20"/>
          <w:color w:val="auto"/>
        </w:rPr>
      </w:pPr>
      <w:r>
        <w:rPr>
          <w:rFonts w:ascii="Times New Roman" w:cs="Times New Roman" w:eastAsia="Times New Roman" w:hAnsi="Times New Roman"/>
          <w:sz w:val="14"/>
          <w:szCs w:val="14"/>
          <w:color w:val="auto"/>
        </w:rPr>
        <w:t>Vice President, International since June 2023. She previously served as Vice President, International, General Counsel and Corporate Secretary from March 2023 to June 2023. From August 2022 to February 2023 she served as Vice President, General Counsel and Corporate Secretary. From November 2020 through August 2022, she served as Vice President, Human Resources, General Counsel, and Corporate Secretary and from January 2020 through October 2020, she served as Vice President, Human Resources, Distributor Development, General Counsel, and Corporate Secretary. From December 2016 through December 2019, she served as Vice President, Human Resources and Distributor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President and Chief Financial Officer since March 2023. She previously served as Vice President, Finance from July 2022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-95885</wp:posOffset>
            </wp:positionV>
            <wp:extent cx="7132320" cy="403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ind w:right="60"/>
        <w:spacing w:after="0" w:line="211" w:lineRule="auto"/>
        <w:rPr>
          <w:sz w:val="20"/>
          <w:szCs w:val="20"/>
          <w:color w:val="auto"/>
        </w:rPr>
      </w:pPr>
      <w:r>
        <w:rPr>
          <w:rFonts w:ascii="Times New Roman" w:cs="Times New Roman" w:eastAsia="Times New Roman" w:hAnsi="Times New Roman"/>
          <w:sz w:val="14"/>
          <w:szCs w:val="14"/>
          <w:color w:val="auto"/>
        </w:rPr>
        <w:t>February 2023. From April 2020 to June 2022, she served as Vice President, Construction and from April 2019 through March 2020, she served as Senior Managing Director, Integration. From February 2011 through March 2019, she served as Chief Financial</w:t>
      </w:r>
    </w:p>
    <w:p>
      <w:pPr>
        <w:spacing w:after="0"/>
        <w:rPr>
          <w:sz w:val="20"/>
          <w:szCs w:val="20"/>
          <w:color w:val="auto"/>
        </w:rPr>
      </w:pPr>
      <w:r>
        <w:rPr>
          <w:rFonts w:ascii="Times New Roman" w:cs="Times New Roman" w:eastAsia="Times New Roman" w:hAnsi="Times New Roman"/>
          <w:sz w:val="14"/>
          <w:szCs w:val="14"/>
          <w:color w:val="auto"/>
        </w:rPr>
        <w:t>Officer for The Charles Machine Works, Inc., an underground construction company acquired by the company in April 2019.</w:t>
      </w:r>
    </w:p>
    <w:p>
      <w:pPr>
        <w:spacing w:after="0" w:line="13"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Edric C. Funk</w:t>
            </w:r>
          </w:p>
        </w:tc>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Group Vice President, Golf, Grounds, and Irrigation since November 2022. He previously served as General Manager, Sitework</w:t>
            </w:r>
          </w:p>
        </w:tc>
      </w:tr>
      <w:tr>
        <w:trPr>
          <w:trHeight w:val="144"/>
        </w:trPr>
        <w:tc>
          <w:tcPr>
            <w:tcW w:w="3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52, Group Vice President, Golf, Grounds, and Irrigation</w:t>
            </w:r>
          </w:p>
        </w:tc>
        <w:tc>
          <w:tcPr>
            <w:tcW w:w="7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Systems from November 2020 to November 2022, and prior to that led the company’s Center for Technology, Research and</w:t>
            </w:r>
          </w:p>
        </w:tc>
      </w:tr>
      <w:tr>
        <w:trPr>
          <w:trHeight w:val="195"/>
        </w:trPr>
        <w:tc>
          <w:tcPr>
            <w:tcW w:w="3420" w:type="dxa"/>
            <w:vAlign w:val="bottom"/>
          </w:tcPr>
          <w:p>
            <w:pPr>
              <w:spacing w:after="0"/>
              <w:rPr>
                <w:sz w:val="16"/>
                <w:szCs w:val="16"/>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Innovation from July 2017 to October 2020.</w:t>
            </w:r>
          </w:p>
        </w:tc>
      </w:tr>
      <w:tr>
        <w:trPr>
          <w:trHeight w:val="146"/>
        </w:trPr>
        <w:tc>
          <w:tcPr>
            <w:tcW w:w="3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Gregory S. Janey</w:t>
            </w:r>
          </w:p>
        </w:tc>
        <w:tc>
          <w:tcPr>
            <w:tcW w:w="78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Group Vice President, Landscapes and Contractor since November 2022. He previously served as Vice President, Residential and</w:t>
            </w:r>
          </w:p>
        </w:tc>
      </w:tr>
      <w:tr>
        <w:trPr>
          <w:trHeight w:val="144"/>
        </w:trPr>
        <w:tc>
          <w:tcPr>
            <w:tcW w:w="34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46, Group Vice President, Landscapes and Contractor</w:t>
            </w:r>
          </w:p>
        </w:tc>
        <w:tc>
          <w:tcPr>
            <w:tcW w:w="7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Landscape Contractor Businesses from November 2019 to November 2022. From November 2017 to October 2019, he served as</w:t>
            </w:r>
          </w:p>
        </w:tc>
      </w:tr>
      <w:tr>
        <w:trPr>
          <w:trHeight w:val="203"/>
        </w:trPr>
        <w:tc>
          <w:tcPr>
            <w:tcW w:w="3420" w:type="dxa"/>
            <w:vAlign w:val="bottom"/>
            <w:shd w:val="clear" w:color="auto" w:fill="CCEEFF"/>
          </w:tcPr>
          <w:p>
            <w:pPr>
              <w:spacing w:after="0"/>
              <w:rPr>
                <w:sz w:val="17"/>
                <w:szCs w:val="17"/>
                <w:color w:val="auto"/>
              </w:rPr>
            </w:pPr>
          </w:p>
        </w:tc>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Manager, Residential and Landscape Contractor Businesses.</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line="231" w:lineRule="auto"/>
        <w:rPr>
          <w:sz w:val="20"/>
          <w:szCs w:val="20"/>
          <w:color w:val="auto"/>
        </w:rPr>
      </w:pPr>
      <w:r>
        <w:rPr>
          <w:rFonts w:ascii="Times New Roman" w:cs="Times New Roman" w:eastAsia="Times New Roman" w:hAnsi="Times New Roman"/>
          <w:sz w:val="14"/>
          <w:szCs w:val="14"/>
          <w:b w:val="1"/>
          <w:bCs w:val="1"/>
          <w:color w:val="auto"/>
        </w:rPr>
        <w:t>Margeaux M. King</w:t>
      </w:r>
    </w:p>
    <w:p>
      <w:pPr>
        <w:ind w:left="20"/>
        <w:spacing w:after="0"/>
        <w:rPr>
          <w:sz w:val="20"/>
          <w:szCs w:val="20"/>
          <w:color w:val="auto"/>
        </w:rPr>
      </w:pPr>
      <w:r>
        <w:rPr>
          <w:rFonts w:ascii="Times New Roman" w:cs="Times New Roman" w:eastAsia="Times New Roman" w:hAnsi="Times New Roman"/>
          <w:sz w:val="14"/>
          <w:szCs w:val="14"/>
          <w:color w:val="auto"/>
        </w:rPr>
        <w:t>47, Vice President, Human Resources</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Peter D. Moeller</w:t>
      </w:r>
    </w:p>
    <w:p>
      <w:pPr>
        <w:spacing w:after="0" w:line="6"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4"/>
          <w:szCs w:val="14"/>
          <w:color w:val="auto"/>
        </w:rPr>
        <w:t>47, Group Vice President, Underground and Specialty Construction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4"/>
          <w:szCs w:val="14"/>
          <w:color w:val="auto"/>
        </w:rPr>
        <w:t>Vice President, Human Resources since August 2022. Prior to joining the company, she held several roles at Ecolab, a global provider in water, hygiene and infection prevention solutions and services, serving as Senior Vice President, Human Resources, Global Total Rewards &amp; Talent from February 2022 to July 2022, and Senior Vice President, Human Resources, Global Total Rewards from September 2019 to January 2022.</w:t>
      </w:r>
    </w:p>
    <w:p>
      <w:pPr>
        <w:spacing w:after="0" w:line="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4"/>
          <w:szCs w:val="14"/>
          <w:color w:val="auto"/>
        </w:rPr>
        <w:t>Group Vice President, Underground and Specialty Construction since March 2023. From November 2020 to February 2023, he served as Vice President, International. From November 2019 to October 2020, he served as Vice President, Sitework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-215900</wp:posOffset>
            </wp:positionV>
            <wp:extent cx="71323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3140" w:space="460"/>
            <w:col w:w="7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Kurt D. Svendsen</w:t>
            </w:r>
          </w:p>
        </w:tc>
        <w:tc>
          <w:tcPr>
            <w:tcW w:w="7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Vice President, Technology since March 2023. From November 2020 to February 2023, he served as Vice President, Strategy,</w:t>
            </w: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58, Vice President, Technology</w:t>
            </w:r>
          </w:p>
        </w:tc>
        <w:tc>
          <w:tcPr>
            <w:tcW w:w="7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Corporate and Channel Development. From June 2013 to October 2020, he served as Vice President, Information Technology.</w:t>
            </w:r>
          </w:p>
        </w:tc>
      </w:tr>
      <w:tr>
        <w:trPr>
          <w:trHeight w:val="144"/>
        </w:trPr>
        <w:tc>
          <w:tcPr>
            <w:tcW w:w="3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Joanna M. Totsky</w:t>
            </w:r>
          </w:p>
        </w:tc>
        <w:tc>
          <w:tcPr>
            <w:tcW w:w="79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Vice President, General Counsel, and Corporate Secretary since June 2023. Prior to joining the company, she held several roles at</w:t>
            </w:r>
          </w:p>
        </w:tc>
      </w:tr>
      <w:tr>
        <w:trPr>
          <w:trHeight w:val="144"/>
        </w:trPr>
        <w:tc>
          <w:tcPr>
            <w:tcW w:w="3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56, Vice President, General Counsel, and Corporate</w:t>
            </w:r>
          </w:p>
        </w:tc>
        <w:tc>
          <w:tcPr>
            <w:tcW w:w="79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Cooper-Standard Holdings, a leading manufacturer of sealing, fuel and brake delivery, and fluid transfer systems, serving as Senior</w:t>
            </w:r>
          </w:p>
        </w:tc>
      </w:tr>
      <w:tr>
        <w:trPr>
          <w:trHeight w:val="139"/>
        </w:trPr>
        <w:tc>
          <w:tcPr>
            <w:tcW w:w="33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Secretary</w:t>
            </w:r>
          </w:p>
        </w:tc>
        <w:tc>
          <w:tcPr>
            <w:tcW w:w="7940" w:type="dxa"/>
            <w:vAlign w:val="bottom"/>
            <w:shd w:val="clear" w:color="auto" w:fill="CCEEFF"/>
          </w:tcPr>
          <w:p>
            <w:pPr>
              <w:ind w:left="300"/>
              <w:spacing w:after="0" w:line="139" w:lineRule="exact"/>
              <w:rPr>
                <w:sz w:val="20"/>
                <w:szCs w:val="20"/>
                <w:color w:val="auto"/>
              </w:rPr>
            </w:pPr>
            <w:r>
              <w:rPr>
                <w:rFonts w:ascii="Times New Roman" w:cs="Times New Roman" w:eastAsia="Times New Roman" w:hAnsi="Times New Roman"/>
                <w:sz w:val="14"/>
                <w:szCs w:val="14"/>
                <w:color w:val="auto"/>
              </w:rPr>
              <w:t>Vice President, Chief Legal and Transformation Officer and Secretary from November 2022 to May 2023, and Senior Vice</w:t>
            </w:r>
          </w:p>
        </w:tc>
      </w:tr>
      <w:tr>
        <w:trPr>
          <w:trHeight w:val="188"/>
        </w:trPr>
        <w:tc>
          <w:tcPr>
            <w:tcW w:w="3300" w:type="dxa"/>
            <w:vAlign w:val="bottom"/>
            <w:shd w:val="clear" w:color="auto" w:fill="CCEEFF"/>
          </w:tcPr>
          <w:p>
            <w:pPr>
              <w:spacing w:after="0"/>
              <w:rPr>
                <w:sz w:val="16"/>
                <w:szCs w:val="16"/>
                <w:color w:val="auto"/>
              </w:rPr>
            </w:pPr>
          </w:p>
        </w:tc>
        <w:tc>
          <w:tcPr>
            <w:tcW w:w="7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President, Chief Legal and Compliance Officer and Secretary from July 2019 to October 2022.</w:t>
            </w:r>
          </w:p>
        </w:tc>
      </w:tr>
      <w:tr>
        <w:trPr>
          <w:trHeight w:val="23"/>
        </w:trPr>
        <w:tc>
          <w:tcPr>
            <w:tcW w:w="3300" w:type="dxa"/>
            <w:vAlign w:val="bottom"/>
            <w:shd w:val="clear" w:color="auto" w:fill="CCEEFF"/>
          </w:tcPr>
          <w:p>
            <w:pPr>
              <w:spacing w:after="0"/>
              <w:rPr>
                <w:sz w:val="2"/>
                <w:szCs w:val="2"/>
                <w:color w:val="auto"/>
              </w:rPr>
            </w:pPr>
          </w:p>
        </w:tc>
        <w:tc>
          <w:tcPr>
            <w:tcW w:w="7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Cash Dividends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and trades under the symbol "TTC." As of October 31, 2024 and 2023, we had 175,000,000 shares of common stock, par value $1.00 per share, authorized, and 101,472,125 and 103,843,485 shares of common stock outstanding, respectively. In each quarter of fiscal 2024, our Board of Directors declared a common stock cash dividend of $0.36 per share, which was a 5.9 percent increase over our common stock cash dividend of $0.34 per share paid in each quarter of fiscal 2023. As announced on December 10, 2024, our Board of Directors increased our fiscal 2025 first quarter common stock cash dividend by 5.6 percent to $0.38 per share.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2024 and 2023, we had 1,000,000 voting shares and 850,000 non-voting shares of preferred stock, par value $1.00 per share, authorized, none of which were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11, 2024, we had 2,372 shareholders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the company's Board of Directors authorizes the repurchase of shares of the company's common stock in open-market or privately negotiated transactions under the company's Board authorized share repurchase program ("share repurchase program"). The share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share repurchase program. The following table sets forth information with respect to shares of our common stock purchased by the company during each of the three fiscal months in our fourth quarter ended October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32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8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2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4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18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2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Units) Purchased</w:t>
            </w:r>
            <w:r>
              <w:rPr>
                <w:rFonts w:ascii="Times New Roman" w:cs="Times New Roman" w:eastAsia="Times New Roman" w:hAnsi="Times New Roman"/>
                <w:sz w:val="18"/>
                <w:szCs w:val="18"/>
                <w:b w:val="1"/>
                <w:bCs w:val="1"/>
                <w:color w:val="auto"/>
                <w:vertAlign w:val="superscript"/>
              </w:rPr>
              <w:t>1, 2, 3, 4</w:t>
            </w:r>
          </w:p>
        </w:tc>
        <w:tc>
          <w:tcPr>
            <w:tcW w:w="14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0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Programs</w:t>
            </w:r>
            <w:r>
              <w:rPr>
                <w:rFonts w:ascii="Times New Roman" w:cs="Times New Roman" w:eastAsia="Times New Roman" w:hAnsi="Times New Roman"/>
                <w:sz w:val="18"/>
                <w:szCs w:val="18"/>
                <w:b w:val="1"/>
                <w:bCs w:val="1"/>
                <w:color w:val="auto"/>
                <w:w w:val="94"/>
                <w:vertAlign w:val="superscript"/>
              </w:rPr>
              <w:t>1, 2, 3</w:t>
            </w:r>
          </w:p>
        </w:tc>
        <w:tc>
          <w:tcPr>
            <w:tcW w:w="18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Plans or Programs</w:t>
            </w:r>
            <w:r>
              <w:rPr>
                <w:rFonts w:ascii="Times New Roman" w:cs="Times New Roman" w:eastAsia="Times New Roman" w:hAnsi="Times New Roman"/>
                <w:sz w:val="18"/>
                <w:szCs w:val="18"/>
                <w:b w:val="1"/>
                <w:bCs w:val="1"/>
                <w:color w:val="auto"/>
                <w:w w:val="97"/>
                <w:vertAlign w:val="superscript"/>
              </w:rPr>
              <w:t>1, 2, 3</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3, 2024 through August 30, 2024</w:t>
            </w:r>
          </w:p>
        </w:tc>
        <w:tc>
          <w:tcPr>
            <w:tcW w:w="2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447,818</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89.32</w:t>
            </w:r>
          </w:p>
        </w:tc>
        <w:tc>
          <w:tcPr>
            <w:tcW w:w="2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447,818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9,323,599</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31, 2024 through October 4, 2024</w:t>
            </w:r>
          </w:p>
        </w:tc>
        <w:tc>
          <w:tcPr>
            <w:tcW w:w="2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623,330</w:t>
            </w:r>
          </w:p>
        </w:tc>
        <w:tc>
          <w:tcPr>
            <w:tcW w:w="5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85.02</w:t>
            </w:r>
          </w:p>
        </w:tc>
        <w:tc>
          <w:tcPr>
            <w:tcW w:w="2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623,330</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8,700,269</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5, 2024 through October 31, 2024</w:t>
            </w:r>
          </w:p>
        </w:tc>
        <w:tc>
          <w:tcPr>
            <w:tcW w:w="2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529,771</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83.29</w:t>
            </w:r>
          </w:p>
        </w:tc>
        <w:tc>
          <w:tcPr>
            <w:tcW w:w="2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528,312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8,171,957</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1,600,919</w:t>
            </w:r>
          </w:p>
        </w:tc>
        <w:tc>
          <w:tcPr>
            <w:tcW w:w="5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85.65</w:t>
            </w:r>
          </w:p>
        </w:tc>
        <w:tc>
          <w:tcPr>
            <w:tcW w:w="2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1,599,460</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214" w:lineRule="auto"/>
        <w:tabs>
          <w:tab w:leader="none" w:pos="17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On December 4, 2018, the company’s Board of Directors authorized the repurchase of up to 5,000,000 shares under the share repurchase program. The company repurchased 771,417 shares under this tranche of the share repurchase program during the period indicated above and as a result, no shares remained available to repurchase as of October 31, 2024.</w:t>
      </w:r>
    </w:p>
    <w:p>
      <w:pPr>
        <w:spacing w:after="0" w:line="97" w:lineRule="exact"/>
        <w:rPr>
          <w:sz w:val="20"/>
          <w:szCs w:val="20"/>
          <w:color w:val="auto"/>
        </w:rPr>
      </w:pPr>
    </w:p>
    <w:p>
      <w:pPr>
        <w:ind w:left="340" w:hanging="332"/>
        <w:spacing w:after="0"/>
        <w:tabs>
          <w:tab w:leader="none" w:pos="183"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13, 2022, the company’s Board of Directors authorized the repurchase of up to an additional 5,000,000 shares under the share repurchase program. The company repurchased 828,043 shares under this tranche of the share repurchase program during the period indicated above and as a result, 4,171,957 shares remained available to repurchase as of October 31, 2024.</w:t>
      </w:r>
    </w:p>
    <w:p>
      <w:pPr>
        <w:spacing w:after="0" w:line="242" w:lineRule="exact"/>
        <w:rPr>
          <w:sz w:val="20"/>
          <w:szCs w:val="20"/>
          <w:color w:val="auto"/>
        </w:rPr>
      </w:pPr>
    </w:p>
    <w:p>
      <w:pPr>
        <w:ind w:left="340" w:hanging="332"/>
        <w:spacing w:after="0" w:line="302" w:lineRule="auto"/>
        <w:tabs>
          <w:tab w:leader="none" w:pos="17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10, 2024, the company’s Board of Directors authorized the repurchase of up to an additional 4,000,000 shares under the share repurchase program. No shares were repurchased under this tranche of the share repurchase program during the time period indicated above.</w:t>
      </w:r>
    </w:p>
    <w:p>
      <w:pPr>
        <w:spacing w:after="0" w:line="54" w:lineRule="exact"/>
        <w:rPr>
          <w:sz w:val="20"/>
          <w:szCs w:val="20"/>
          <w:color w:val="auto"/>
        </w:rPr>
      </w:pPr>
    </w:p>
    <w:p>
      <w:pPr>
        <w:ind w:left="340" w:hanging="332"/>
        <w:spacing w:after="0" w:line="230" w:lineRule="auto"/>
        <w:tabs>
          <w:tab w:leader="none" w:pos="285"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1,459 shares of the company's common stock purchased in open-market transactions at an average price of $82.66 per share on behalf of a rabbi trust formed to pay benefit obligations of the company to participants in the company's deferred compensation plans. These 1,459 shares were not repurchased under the share repurchase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 Common Stock Comparative 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and table depict the cumulative total shareholder return (assuming reinvestment of dividends) on $100 invested in each of TTC common stock, the S&amp;P 500 Index, and the S&amp;P 500 Industrial Machinery Index for the five-year period from October 31, 2019 through October 31, 2024. The total returns on TTC common stock depicted in the stock performance graph and table are not necessarily indicative of future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The Toro Company, the S&amp;P 500 Index, and the S&amp;P 500 Industrial Machinery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88265</wp:posOffset>
            </wp:positionV>
            <wp:extent cx="5254625" cy="3137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10/31/19 in stock or index, including reinvestment of dividends. Fiscal years ending October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Toro Company</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107.94</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126.82</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141.99</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110.40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111.61</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1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109.71</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156.79</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133.88</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147.46</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Industrial Machinery Index</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109.69</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144.78</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137.64</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w:t>
            </w: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expressly stated otherwise, the comparisons presented in this MD&amp;A refer to the year-over-year comparison of changes in our financial condition and results of operations as of and for the fiscal years ended October 31, 2024 and 2023. Discussion of fiscal 2022 items and the year-over-year comparison of changes in our financial condition and results of operations as of and for the fiscal years ended October 31, 2023 and 2022 can be found in Part II, Item 7, "Management’s Discussion and Analysis of Financial Condition and Results of Operations," of our Annual Report on Form 10-K for the fiscal year ended October 31, 2023.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is presented as follows:</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MD&amp;A, we have provided financial and liquidity measures that are not calculated or presented in accordance with U.S. GAAP ("non-GAAP financial measures," "adjusted" before specified financial measures, and "non-GAAP liquidity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fiscal 2024 results included the following items of significance that are provided in summary format here and described in greater detail throughout the "Results of Operations," "Business Segments," and "Financial Position" sections:</w:t>
      </w:r>
    </w:p>
    <w:p>
      <w:pPr>
        <w:spacing w:after="0" w:line="54"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for fiscal 2024 were $4,583.8 million, an increase of 0.7 percent compared to $4,553.2 million in fiscal 2023.</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fiscal 2024 were $3,556.9 million, a decrease of 3.2 percent compared to $3,674.6 million in fiscal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for fiscal 2024 were $998.3 million, an increase of 16.9 percent compared to $854.2 million in fiscal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33.8 percent in fiscal 2024, a decrease of 80 basis points compared to 34.6 percent in fiscal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was 33.9 percent in fiscal 2024, a decrease of 80 basis points compared to 34.7 percent in fiscal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as a percentage of net sales in fiscal 2024 was 22.2 percent, an increase of 40 basis points compared to 21.8 percent in fiscal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for fiscal 2024 were $418.9 million, or $4.01 per diluted share, compared to $329.7 million, or $3.13 per diluted share, in fiscal 2023.</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for fiscal 2024 were $435.2 million, or $4.17 per diluted share, compared to $443.5 million, or $4.21 per diluted share, in fiscal 2023.</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hanging="332"/>
        <w:spacing w:after="0" w:line="257"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inventory was higher as of the end of fiscal 2024 compared to the end of fiscal 2023, primarily due to increased shipments of golf and grounds and construction products driven by improved manufacturing output and increased shipments of lawn care equipment to our mass channel partners, partially offset by lower shipments of snow and ice management products and reductions in dealer field inventories of lawn care equipment.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backlog represents unfulfilled customer orders at a point in time. Our order backlog (including shipments beyond 12 months) decreased $0.8 billion to $1.2 billion as of October 31, 2024 from $2.0 billion as of October 31, 2023, primarily driven by improved manufacturing output. Our order backlog remains significantly elevated over what the company would consider normal, due to demand for golf and grounds and underground construction products continuing to outpace production of such products.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continued our history of paying quarterly cash dividends throughout fiscal 2024 and increased our fiscal 2024 quarterly cash dividend by 5.9 percent to $0.36 per share compared to $0.34 per share paid in fiscal 2023. We also repurchased shares of our common stock under our share repurchase program, thereby reducing our total shares outstanding. As a result of the combination of quarterly cash dividends and share repurchases, we returned $395.0 million of cash to our shareholders during fiscal 2024. As of October 31, 2024, we had a strong liquidity profile with available liquidity of $1,096.8 million, consisting of cash and cash equivalents of $199.5 million and availability under our revolving credit facility of $897.3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Initiative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2024, we launched a significant productivity initiative named AMP, which is a multi-year initiative intended to result in annualized cost savings of more than $100 million by fiscal 2027, driven by sustainable supply-base, design-to-value, route-to-market, and operational efficiency transformation. We expect to reinvest a portion of the savings from this initiative to drive further innovation and growth. We have recognized $3.8 million of cost savings as of October 31, 2024, which amounts to an estimated $14.5 million of annualized cost savings. Refer to the section titled "Non-GAAP Financial Measures" for information about the productivity initiative charges incurred to generate these savings.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sales in fiscal 2024 were $4,583.8 million compared to $4,553.2 million in fiscal 2023, an increase of 0.7 percent. This net sales increase was primarily driven by higher shipments of Residential segment products, partially offset by lower shipments of Professional segment products.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international markets were $923.0 million for fiscal 2024 compared to $947.7 million in fiscal 2023, a decrease of 2.6 percent. The international net sales decrease was primarily driven by lower shipments of Residential segment products, partially offset by higher shipments of Professional segment products. Changes in foreign currency exchange rates resulted in a decrease in our net sales of $4.1 million in fiscal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consolidated 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64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6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(66.2)</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(65.4)</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33.8</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w:t>
            </w: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SG&amp;A expense</w:t>
            </w:r>
          </w:p>
        </w:tc>
        <w:tc>
          <w:tcPr>
            <w:tcW w:w="4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(22.2)</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(21.8)</w:t>
            </w:r>
          </w:p>
        </w:tc>
      </w:tr>
      <w:tr>
        <w:trPr>
          <w:trHeight w:val="20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46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4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11.6</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0.9</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46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11.2</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w:t>
            </w:r>
          </w:p>
        </w:tc>
      </w:tr>
      <w:tr>
        <w:trPr>
          <w:trHeight w:val="19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6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(2.1)</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r>
      <w:tr>
        <w:trPr>
          <w:trHeight w:val="221"/>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46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9.1 %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Gross profit represents net sales less cost of sales and gross margin represents gross profit as a percentage of net sales. Refer to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Related Data</w:t>
      </w:r>
      <w:r>
        <w:rPr>
          <w:rFonts w:ascii="Times New Roman" w:cs="Times New Roman" w:eastAsia="Times New Roman" w:hAnsi="Times New Roman"/>
          <w:sz w:val="18"/>
          <w:szCs w:val="18"/>
          <w:color w:val="auto"/>
        </w:rPr>
        <w:t>, of the Notes to Consolidated Financial Statements within the section entitled "Cost of Sales,"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expenses included in cost of sales. Gross profit for fiscal 2024 was $1,549.3 million, down 1.8 percent compared to gross profit of $1,577.6 million in fiscal 2023. Gross margin was 33.8 percent in fiscal 2024 compared to 34.6 percent in fiscal 2023, a decrease of 80 basis points. This gross margin decrease was primarily due to higher material and manufacturing costs and product mix, partially offset by productivity improvements.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SG&amp;A expense increased $20.4 million, or 2.0 percent, in fiscal 2024 compared to fiscal 2023. Refer to Note 1,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Related Data</w:t>
      </w:r>
      <w:r>
        <w:rPr>
          <w:rFonts w:ascii="Times New Roman" w:cs="Times New Roman" w:eastAsia="Times New Roman" w:hAnsi="Times New Roman"/>
          <w:sz w:val="18"/>
          <w:szCs w:val="18"/>
          <w:color w:val="auto"/>
        </w:rPr>
        <w:t>, of the Notes to Consolidated Financial Statements within the section entitled "Selling, General and Administrative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description of expenses included in SG&amp;A expense. As a percentage of net sales, SG&amp;A expense was 22.2 percent in fiscal 2024 compared to 21.8 percent in fiscal 2023, an increase of 40 basis points. The increase in SG&amp;A expense as a percentage of net sales was primarily driven by higher corporate expenses, partially offset by lower marketing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Impairment Charges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non-cash impairment charges of $151.3 million within our Professional segment in fiscal 2023. No impairment charges were recognized in fiscal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2024 increased $3.2 million compared to fiscal 2023. This increase was primarily driven by higher average interest rates, partially offset by lower average outstanding borrowings, in each case during fiscal 2024 compared to fiscal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fiscal 2024 was $41.4 million compared to $28.5 million in fiscal 2023, an increase of $12.9 million. This increase in other income, net was primarily due to net gains on divestitures in fiscal 2024 and higher income from our Red Iron joint venture in fiscal 2024 as compared to fiscal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fiscal 2024 was 18.3 percent compared to 17.7 percent in fiscal 2023. The increase in the effective tax rate for fiscal 2024 was primarily due to the impact of non-cash impairment charges in the prior year and lower tax benefits recorded as excess tax deductions for stock compensation in the current year, partially offset by a more favorable geographic mix of earnings in the current year. The adjusted effective tax rate for fiscal 2024 was 18.8 percent, compared to an adjusted effective tax rate of 20.4 percent in fiscal 2023. The decrease in the adjusted effective tax rate was primarily due to a more favorable geographic mix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and Net Earnings Per Diluted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Fiscal 2024 net earnings were $418.9 million compared to $329.7 million in fiscal 2023, an increase of 27.1 percent. Fiscal 2024 diluted net earnings per share were $4.01, an increase of 28.1 percent from $3.13 per diluted share in fiscal 2023. The increase in net earnings per diluted share for fiscal 2024 was primarily due to the non-cash impairment charges in the prior year and higher Residential segment earnings in the current year, partially offset by lower Professional segment earnings and higher corporate expenses in the current year. Adjusted net earnings for fiscal 2024 were $435.2 million, or $4.17 per diluted share, compared to $443.5 million, or $4.21 per diluted share, in fiscal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operate in two reportable business segments: Professional and Residential. Segment earnings for our Professional and Residential reportable segments are defined as earnings from operations plus other income, net. Our remaining activities consisting of a wholly-owned domestic distribution company, Red Iron joint venture, certain corporate activities,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as well as other unallocated corporate assets and liabilities, such as corporate facilities and deferred tax assets and liabilities. The following information provides perspective on the net sales and operating results of our reportable business segments and Other activities.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segment net sales represented 77.6 percent and 80.7 percent of consolidated net sales for fiscal 2024 and 2023, respectively. The following table presents our Professional segment's net sales, earnings, and earnings margin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3,556.9</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3,674.6</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3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638.9</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509.1</w:t>
            </w:r>
          </w:p>
        </w:tc>
      </w:tr>
      <w:tr>
        <w:trPr>
          <w:trHeight w:val="19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Segment earnings margin</w:t>
            </w:r>
          </w:p>
        </w:tc>
        <w:tc>
          <w:tcPr>
            <w:tcW w:w="3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Professional segment in fiscal 2024 decreased 3.2 percent compared to fiscal 2023. This decrease was primarily driven by lower shipments of lawn care equipment, snow and ice management products, and compact utility loaders, partially offset by higher shipments of golf and grounds and underground construction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segment earnings increased 25.5 percent in fiscal 2024 compared to fiscal 2023, and Professional segment earnings margin increased to 18.0 percent from 13.9 percent. The increase in Professional segment earnings margin for fiscal 2024 was primarily driven by the non-cash impairment charges in the prior year, productivity improvements, and product mix, partially offset by higher material and manufacturing costs and lower net sales volume.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segment net sales represented 21.8 percent and 18.8 percent of consolidated net sales for fiscal 2024 and 2023, respectively. The following table presents our Residential segment's net sales, earnings, and earnings margin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998.3</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854.2</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68.9</w:t>
            </w:r>
          </w:p>
        </w:tc>
      </w:tr>
      <w:tr>
        <w:trPr>
          <w:trHeight w:val="19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Segment earnings margin</w:t>
            </w:r>
          </w:p>
        </w:tc>
        <w:tc>
          <w:tcPr>
            <w:tcW w:w="3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our Residential segment in fiscal 2024 increased by 16.9 percent compared to fiscal 2023. This increase was primarily driven by higher shipments of lawn care products to our mass channel, partially offset by lower shipments of snow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segment earnings increased 13.8 percent in fiscal 2024 compared to fiscal 2023, and Residential segment earnings margin decreased to 7.9 percent from 8.1 percent. This Residential segment earnings margin decrease was primarily driven by product mix and higher material and manufacturing costs, partially offset by productivity improvements and net sales leverage.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Other activities consist of sales from a wholly-owned domestic distribution company less intercompany sales from our Professional and Residential business segments to the wholly-owned domestic distribution company. Net sales for our Other activities represented 0.6 percent and 0.5 percent of consolidated net sales for fiscal 2024 and 2023,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and operating loss for our Other activities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24.4</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34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17.2 %</w:t>
            </w:r>
          </w:p>
        </w:tc>
        <w:tc>
          <w:tcPr>
            <w:tcW w:w="380" w:type="dxa"/>
            <w:vAlign w:val="bottom"/>
          </w:tcPr>
          <w:p>
            <w:pPr>
              <w:spacing w:after="0"/>
              <w:rPr>
                <w:sz w:val="16"/>
                <w:szCs w:val="16"/>
                <w:color w:val="auto"/>
              </w:rPr>
            </w:pPr>
          </w:p>
        </w:tc>
        <w:tc>
          <w:tcPr>
            <w:tcW w:w="1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47.9 %</w:t>
            </w:r>
          </w:p>
        </w:tc>
      </w:tr>
      <w:tr>
        <w:trPr>
          <w:trHeight w:val="20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(204.5)</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our Other activities includes sales from our wholly-owned domestic distribution company net of intersegment sales from the Professional and Residential segments to the distribution company. Net sales for our Other activities in fiscal 2024 increased $4.2 million compared to fiscal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for our Other activities increased $27.0 million in fiscal 2024 compared to fiscal 2023. This year-over-year operating loss increase was primarily driven by higher corporate expenses and higher interest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ongoing goal is to maintain requisite inventory levels to meet our anticipated production requirements, avoid manufacturing delays, and meet the demand for our products, as well as working to ensure service parts availability for our customers. The following table highlights several key measures of our working capital performance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receivables, net</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inventories, net</w:t>
            </w:r>
          </w:p>
        </w:tc>
        <w:tc>
          <w:tcPr>
            <w:tcW w:w="3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1,156.8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1,134.5</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accounts payable</w:t>
            </w:r>
          </w:p>
        </w:tc>
        <w:tc>
          <w:tcPr>
            <w:tcW w:w="3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days outstanding for receivables</w:t>
            </w:r>
          </w:p>
        </w:tc>
        <w:tc>
          <w:tcPr>
            <w:tcW w:w="30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0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inventory turnover (times per fiscal year)</w:t>
            </w:r>
          </w:p>
        </w:tc>
        <w:tc>
          <w:tcPr>
            <w:tcW w:w="30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2024, our average net working capital was 25.9 percent compared to 23.3 percent as of the end of fiscal 2023. We calculate our average net working capital as average net accounts receivable plus average net inventory, less average accounts payable as a percentage of net sales for a twelve month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impacted our average net working capital during fiscal 2024 as compared to fiscal 2023:</w:t>
      </w:r>
    </w:p>
    <w:p>
      <w:pPr>
        <w:spacing w:after="0" w:line="117" w:lineRule="exact"/>
        <w:rPr>
          <w:sz w:val="20"/>
          <w:szCs w:val="20"/>
          <w:color w:val="auto"/>
        </w:rPr>
      </w:pPr>
    </w:p>
    <w:p>
      <w:pPr>
        <w:ind w:left="340" w:right="2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receivables increased by 26.6 percent, primarily driven by increased mass channel and international shipments, as well as payment terms to our mass channel. Our average days outstanding for receivables increased to 38.2 days in fiscal 2024 compared to 30.4 days in fiscal 2023.</w:t>
      </w: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inventories increased by 2.0 percent, primarily due to higher balances of compact utility loaders and snow and ice management products.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accounts payable decreased by 0.4 percent, primarily due to the timing of materials purchases.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ongoing capital investments in our property, plant, and equipment and believe that in periods of normalized supply chain conditions our historical capital investments in our manufacturing facilities and other capital assets will increase the production capacity and efficiencies of our operations to better enable us to meet the needs of our customers. Fiscal 2024 capital expenditures of $103.5 million were $46.0 million lower than our fiscal 2023 capital expenditures of $149.5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by/(used in) operating, investing, and financing activities during the past two fiscal years are shown in the following table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62865</wp:posOffset>
            </wp:positionV>
            <wp:extent cx="1748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8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Cash Provided by/(Used 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569.9</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r>
      <w:tr>
        <w:trPr>
          <w:trHeight w:val="19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8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end of the fiscal period</w:t>
            </w:r>
          </w:p>
        </w:tc>
        <w:tc>
          <w:tcPr>
            <w:tcW w:w="2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199.5</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27"/>
        </w:trPr>
        <w:tc>
          <w:tcPr>
            <w:tcW w:w="59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 of funds is cash generated from operations. In fiscal 2024, cash provided by operating activities increased $263.1 million from fiscal 2023. This increase was mainly due to net favorable fluctuations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and capital expenditures are a significant use of our capital resources. These investments are intended to enable sales growth in new, existing, and expanding markets, help us meet product demand, and increase our manufacturing efficiencies and capacity. In fiscal 2024, cash used in investing activities decreased $98.0 million from fiscal 2023. This decrease was primarily driven by lower purchases of property, plant, and equipment, higher cash inflows from divestitures, and lower cash outflows for acquisitions, in each case during fiscal 2024 compared to fiscal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2024, cash used in financing activities increased $357.6 million from fiscal 2023. This increase was mainly due to higher repurchases of common stock, changes in activity under the revolving credit facility, and debt repayments, in each case during fiscal 2024 compared to fiscal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2024, we had available liquidity of $1,096.8 million, consisting of cash and cash equivalents of $199.5 million, of which $136.0 million was held by our foreign subsidiaries, and availability under our revolving credit facility of $897.3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$47.1 million of cash and cash equivalents held by our foreign subsidiaries will be indefinitely reinvested. Should these cash and cash equivalents be distributed in the future in the form of dividends or otherwise, we may be subject to foreign withholding taxes, state income taxes, and/or additional federal taxes for currency fluctuations. As of October 31, 2024,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current liquidity position, including the funds available through existing, and potential future, financing arrangements and projected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indebtedness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2029</w:t>
            </w:r>
          </w:p>
        </w:tc>
        <w:tc>
          <w:tcPr>
            <w:tcW w:w="3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due October 2029</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April 2027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3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3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124.2</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203"/>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921.8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w:t>
            </w:r>
          </w:p>
        </w:tc>
      </w:tr>
      <w:tr>
        <w:trPr>
          <w:trHeight w:val="19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3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911.8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w:t>
            </w:r>
          </w:p>
        </w:tc>
      </w:tr>
      <w:tr>
        <w:trPr>
          <w:trHeight w:val="27"/>
        </w:trPr>
        <w:tc>
          <w:tcPr>
            <w:tcW w:w="55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Principal payments required on our outstanding indebtedness, based on the maturity dates defined within our debt arrangements,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7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7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payments required on our outstanding indebtedness, assuming no prepayments of indebtedness, for each of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Interest payments</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96"/>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variable rate debt was calculated using the interest rate as of October 31, 2024.</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has a borrowing capacity of up to $900.0 million that matures on October 2, 2029. Included in the revolving credit facility is a $10.0 million sublimit for standby letters of credit and a $75.0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$450.0 million. As of October 31, 2024 we had no outstanding borrowings under the revolving credit facility and $2.7 million outstanding under the sublimit for standby letters of credit, resulting in $897.3 million of unutilized availability under our revolving credit facility. As of October 31, 2023 we had $40.0 million outstanding borrowings under the revolving credit facility and $2.6 million outstanding under the sublimit for standby letters of credit, resulting in $557.4 million of unutilized availability under our revolving credit facility. As of October 31, 2024, our debt ratings for long-term unsecured senior, non-credit enhanced debt by Standard and Poor's Ratings Group and by Moody's Investors Service were BBB and Baa1, respectively, and in both cases with a stable outlook.</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agreements governing our outstanding indebtedness are described in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Notes to Consolidated Financial Statements. We are in compliance with our debt covenants and other requirements of our revolving credit facility and term loan credit agreements, indentures, and private placement note purchase agreements.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capital structure and debt-to-capitalization ratio (dollars in millions, except percentage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r>
      <w:tr>
        <w:trPr>
          <w:trHeight w:val="202"/>
        </w:trPr>
        <w:tc>
          <w:tcPr>
            <w:tcW w:w="4940" w:type="dxa"/>
            <w:vAlign w:val="bottom"/>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6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600" w:type="dxa"/>
            <w:vAlign w:val="bottom"/>
            <w:shd w:val="clear" w:color="auto" w:fill="D1ECFA"/>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160" w:type="dxa"/>
            <w:vAlign w:val="bottom"/>
            <w:shd w:val="clear" w:color="auto" w:fill="D1ECFA"/>
          </w:tcPr>
          <w:p>
            <w:pPr>
              <w:spacing w:after="0"/>
              <w:rPr>
                <w:sz w:val="17"/>
                <w:szCs w:val="17"/>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160" w:type="dxa"/>
            <w:vAlign w:val="bottom"/>
          </w:tcPr>
          <w:p>
            <w:pPr>
              <w:spacing w:after="0"/>
              <w:rPr>
                <w:sz w:val="16"/>
                <w:szCs w:val="16"/>
                <w:color w:val="auto"/>
              </w:rPr>
            </w:pPr>
          </w:p>
        </w:tc>
      </w:tr>
      <w:tr>
        <w:trPr>
          <w:trHeight w:val="203"/>
        </w:trPr>
        <w:tc>
          <w:tcPr>
            <w:tcW w:w="4940" w:type="dxa"/>
            <w:vAlign w:val="bottom"/>
            <w:tcBorders>
              <w:bottom w:val="single" w:sz="8" w:color="auto"/>
            </w:tcBorders>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Debt-to-capitalization ratio</w:t>
            </w:r>
          </w:p>
        </w:tc>
        <w:tc>
          <w:tcPr>
            <w:tcW w:w="3660" w:type="dxa"/>
            <w:vAlign w:val="bottom"/>
            <w:tcBorders>
              <w:bottom w:val="single" w:sz="8" w:color="auto"/>
            </w:tcBorders>
            <w:shd w:val="clear" w:color="auto" w:fill="D1ECFA"/>
          </w:tcPr>
          <w:p>
            <w:pPr>
              <w:spacing w:after="0"/>
              <w:rPr>
                <w:sz w:val="17"/>
                <w:szCs w:val="17"/>
                <w:color w:val="auto"/>
              </w:rPr>
            </w:pP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600" w:type="dxa"/>
            <w:vAlign w:val="bottom"/>
            <w:tcBorders>
              <w:bottom w:val="single" w:sz="8" w:color="auto"/>
            </w:tcBorders>
            <w:shd w:val="clear" w:color="auto" w:fill="D1ECFA"/>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6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debt-to-capitalization ratio decreased in fiscal 2024 compared to fiscal 2023 primarily due to fiscal 2024 debt repayments and our continued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quarter of fiscal 2024, our Board of Directors declared a common stock cash dividend of $0.36 per share, which was a 5.9 percent increase over our common stock cash dividend of $0.34 per share paid each quarter in fiscal 2023. On December 10, 2024, our Board of Directors increased our fiscal 2025 first quarter common stock cash dividend by 5.6 percent to $0.38 per share. Future common stock cash dividends will depend upon our financial condition, results of operations, capital requirements, and other factors deemed relevant by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 repurchase program provides shares for use in connection with our stock-based compensation plans, among other uses, and has no expiration. The following table provides information with respect to repurchases of our common stock during the past two fiscal years (dollars in millions,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9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Board authorized common stock purchased</w:t>
            </w:r>
          </w:p>
        </w:tc>
        <w:tc>
          <w:tcPr>
            <w:tcW w:w="2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2,777,534</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577,115</w:t>
            </w:r>
          </w:p>
        </w:tc>
      </w:tr>
      <w:tr>
        <w:trPr>
          <w:trHeight w:val="19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repurchase common stock</w:t>
            </w:r>
          </w:p>
        </w:tc>
        <w:tc>
          <w:tcPr>
            <w:tcW w:w="2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03"/>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29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88.39</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2024, 8,171,957 shares remained available for repurchase under our share repurchase program. We currently expect to continue share repurchases in fiscal 2025, depending on our cash balance, debt repayments, common stock price and other market conditions, our anticipated working capital needs, and/or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inventory financing arrangements with Red Iron, HCFC, and other third-party financial institutions (collectively, the "financial institutions") which provide inventory financing to certain dealers and distributors of certain of our products in the U.S. and internationally. These financing arrangements are structured as an advance in the form of a payment by the financial institutions to us on behalf of a distributor or dealer with respect to invoices financed by the financial institution. These payments extinguish the obligation of the dealer or distributor to make payment to us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us. Under these financing arrangements, down payments are not required, and depending on the finance program for each product line, finance charges are incurred by us, shared between us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becomes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 with Red Iron during fiscal 2024 and 2023 was $2,613.3 million and $2,789.5 million, respectively. The total amount of net receivables outstanding under the arrangement with Red Iron as of October 31, 2024 and 2023 was $979.6 million and $1,019.0 million, respectively. The total amount of receivables due from Red Iron to us as of October 31, 2024 and 2023 were $26.0 million and $34.4 million, respectively.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2024 and 2023 was $612.1 million and $545.4 million, respectively. As of October 31, 2024 and 2023, $272.2 million and $234.7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inventory repurchase agreements with the other third-party financial institutions under which we have agreed to repurchase certain repossessed products. As of October 31, 2024 and 2023, we were contingently liable to repurchase up to a maximum amount of $29.5 million and $32.2 million of repossessed inventory,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2024 and 2023 was $2.9 million and $5.2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Account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provided in this Annual Report on Form 10-K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performance measures calculated and reported in accordance with U.S. GAAP to the most directly comparable non-GAAP financial performance measures for the fiscal years ended October 31, 2024 and 2023 (dollars in millions, except per share and percentage data):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1,549.3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1,577.6</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1,555.0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1,579.0</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gross margin</w:t>
            </w:r>
          </w:p>
        </w:tc>
        <w:tc>
          <w:tcPr>
            <w:tcW w:w="3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33.9 %</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34.7 %</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533.3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430.7</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151.3</w:t>
            </w:r>
          </w:p>
        </w:tc>
      </w:tr>
      <w:tr>
        <w:trPr>
          <w:trHeight w:val="18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earnings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560.5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587.4</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 margin</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9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earnings margin</w:t>
            </w:r>
          </w:p>
        </w:tc>
        <w:tc>
          <w:tcPr>
            <w:tcW w:w="30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12.2 %</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512.8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400.5</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151.3</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earnings before income taxes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535.9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557.2</w:t>
            </w:r>
          </w:p>
        </w:tc>
      </w:tr>
      <w:tr>
        <w:trPr>
          <w:trHeight w:val="81"/>
        </w:trPr>
        <w:tc>
          <w:tcPr>
            <w:tcW w:w="54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70.8</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36.7</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5</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income tax provision</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100.7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113.7</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8"/>
        </w:trPr>
        <w:tc>
          <w:tcPr>
            <w:tcW w:w="5420" w:type="dxa"/>
            <w:vAlign w:val="bottom"/>
            <w:tcBorders>
              <w:bottom w:val="single" w:sz="8" w:color="auto"/>
            </w:tcBorders>
            <w:shd w:val="clear" w:color="auto" w:fill="CCEEFF"/>
          </w:tcPr>
          <w:p>
            <w:pPr>
              <w:spacing w:after="0"/>
              <w:rPr>
                <w:sz w:val="5"/>
                <w:szCs w:val="5"/>
                <w:color w:val="auto"/>
              </w:rPr>
            </w:pPr>
          </w:p>
        </w:tc>
        <w:tc>
          <w:tcPr>
            <w:tcW w:w="30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18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418.9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329.7</w:t>
            </w:r>
          </w:p>
        </w:tc>
      </w:tr>
      <w:tr>
        <w:trPr>
          <w:trHeight w:val="21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114.6</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5</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435.2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443.5</w:t>
            </w:r>
          </w:p>
        </w:tc>
      </w:tr>
      <w:tr>
        <w:trPr>
          <w:trHeight w:val="27"/>
        </w:trPr>
        <w:tc>
          <w:tcPr>
            <w:tcW w:w="5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1"/>
        </w:trPr>
        <w:tc>
          <w:tcPr>
            <w:tcW w:w="542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diluted share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3.13</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2</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0.04</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0.19</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tcPr>
          <w:p>
            <w:pPr>
              <w:spacing w:after="0"/>
              <w:rPr>
                <w:sz w:val="17"/>
                <w:szCs w:val="17"/>
                <w:color w:val="auto"/>
              </w:rPr>
            </w:pP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r>
      <w:tr>
        <w:trPr>
          <w:trHeight w:val="203"/>
        </w:trPr>
        <w:tc>
          <w:tcPr>
            <w:tcW w:w="542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5</w:t>
            </w:r>
          </w:p>
        </w:tc>
        <w:tc>
          <w:tcPr>
            <w:tcW w:w="30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(0.03)</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(0.05)</w:t>
            </w:r>
          </w:p>
        </w:tc>
      </w:tr>
      <w:tr>
        <w:trPr>
          <w:trHeight w:val="19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net earnings per diluted share</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4.21</w:t>
            </w:r>
          </w:p>
        </w:tc>
      </w:tr>
      <w:tr>
        <w:trPr>
          <w:trHeight w:val="27"/>
        </w:trPr>
        <w:tc>
          <w:tcPr>
            <w:tcW w:w="5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1"/>
        </w:trPr>
        <w:tc>
          <w:tcPr>
            <w:tcW w:w="542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r>
      <w:tr>
        <w:trPr>
          <w:trHeight w:val="203"/>
        </w:trPr>
        <w:tc>
          <w:tcPr>
            <w:tcW w:w="54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Productivity initiative</w:t>
            </w:r>
            <w:r>
              <w:rPr>
                <w:rFonts w:ascii="Times New Roman" w:cs="Times New Roman" w:eastAsia="Times New Roman" w:hAnsi="Times New Roman"/>
                <w:sz w:val="18"/>
                <w:szCs w:val="18"/>
                <w:color w:val="auto"/>
                <w:vertAlign w:val="superscript"/>
              </w:rPr>
              <w:t>3</w:t>
            </w:r>
          </w:p>
        </w:tc>
        <w:tc>
          <w:tcPr>
            <w:tcW w:w="30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3"/>
        </w:trPr>
        <w:tc>
          <w:tcPr>
            <w:tcW w:w="54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Non-cash impairment charges</w:t>
            </w:r>
            <w:r>
              <w:rPr>
                <w:rFonts w:ascii="Times New Roman" w:cs="Times New Roman" w:eastAsia="Times New Roman" w:hAnsi="Times New Roman"/>
                <w:sz w:val="18"/>
                <w:szCs w:val="18"/>
                <w:color w:val="auto"/>
                <w:vertAlign w:val="superscript"/>
              </w:rPr>
              <w:t>4</w:t>
            </w:r>
          </w:p>
        </w:tc>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3"/>
        </w:trPr>
        <w:tc>
          <w:tcPr>
            <w:tcW w:w="542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5</w:t>
            </w:r>
          </w:p>
        </w:tc>
        <w:tc>
          <w:tcPr>
            <w:tcW w:w="3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0.7 %</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1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effective tax rate</w:t>
            </w:r>
          </w:p>
        </w:tc>
        <w:tc>
          <w:tcPr>
            <w:tcW w:w="30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18.8 %</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hanging="172"/>
        <w:spacing w:after="0" w:line="223" w:lineRule="auto"/>
        <w:tabs>
          <w:tab w:leader="none" w:pos="1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On January 13, 2022, we completed our acquisition of Intimidator. Acquisition-related costs for the fiscal year ended October 31, 2023 represent integration costs incurred in connection with the acquisition. For additional information regarding this acquisition, refer to Note 2, </w:t>
      </w:r>
      <w:r>
        <w:rPr>
          <w:rFonts w:ascii="Times New Roman" w:cs="Times New Roman" w:eastAsia="Times New Roman" w:hAnsi="Times New Roman"/>
          <w:sz w:val="14"/>
          <w:szCs w:val="14"/>
          <w:i w:val="1"/>
          <w:iCs w:val="1"/>
          <w:color w:val="auto"/>
        </w:rPr>
        <w:t>Acquisitions and Divestitures</w:t>
      </w:r>
      <w:r>
        <w:rPr>
          <w:rFonts w:ascii="Times New Roman" w:cs="Times New Roman" w:eastAsia="Times New Roman" w:hAnsi="Times New Roman"/>
          <w:sz w:val="14"/>
          <w:szCs w:val="14"/>
          <w:color w:val="auto"/>
        </w:rPr>
        <w:t>, of the Notes to Consolidated Financial Statements.</w:t>
      </w:r>
    </w:p>
    <w:p>
      <w:pPr>
        <w:spacing w:after="0" w:line="96" w:lineRule="exact"/>
        <w:rPr>
          <w:sz w:val="20"/>
          <w:szCs w:val="20"/>
          <w:color w:val="auto"/>
        </w:rPr>
      </w:pPr>
    </w:p>
    <w:p>
      <w:pPr>
        <w:ind w:left="180" w:right="20" w:hanging="172"/>
        <w:spacing w:after="0" w:line="230" w:lineRule="auto"/>
        <w:tabs>
          <w:tab w:leader="none" w:pos="172"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fourth quarter of fiscal 2023, we initiated a restructuring program which was completed in the first quarter of fiscal 2024. The restructuring charges associated with the program for the fiscal year ended October 31, 2023 represent accrued severance, termination benefits, and other exit-related expenses.</w:t>
      </w:r>
    </w:p>
    <w:p>
      <w:pPr>
        <w:spacing w:after="0" w:line="95" w:lineRule="exact"/>
        <w:rPr>
          <w:sz w:val="20"/>
          <w:szCs w:val="20"/>
          <w:color w:val="auto"/>
        </w:rPr>
      </w:pPr>
    </w:p>
    <w:p>
      <w:pPr>
        <w:jc w:val="both"/>
        <w:ind w:left="180" w:hanging="172"/>
        <w:spacing w:after="0" w:line="244" w:lineRule="auto"/>
        <w:tabs>
          <w:tab w:leader="none" w:pos="199"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fiscal year ended October 31, 2024 primarily represent asset write-offs, third-party consulting costs, product-line exit costs, and compensation for fully-dedicated AMP personnel, partially offset by a gain on divestiture.</w:t>
      </w:r>
    </w:p>
    <w:p>
      <w:pPr>
        <w:spacing w:after="0" w:line="65"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the end of the third quarter of fiscal 2023, we recorded non-cash impairment charges within our Professional reportable segment.</w:t>
      </w:r>
    </w:p>
    <w:p>
      <w:pPr>
        <w:spacing w:after="0" w:line="82" w:lineRule="exact"/>
        <w:rPr>
          <w:sz w:val="20"/>
          <w:szCs w:val="20"/>
          <w:color w:val="auto"/>
        </w:rPr>
      </w:pPr>
    </w:p>
    <w:p>
      <w:pPr>
        <w:jc w:val="both"/>
        <w:ind w:left="180" w:hanging="172"/>
        <w:spacing w:after="0" w:line="275" w:lineRule="auto"/>
        <w:tabs>
          <w:tab w:leader="none" w:pos="172"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fiscal years ended October 31, 2024 and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free cash flow and free cash flow conversion percentage to net cash provided by operating activities, which is the most directly comparable financial measure calculated and reported in accordance with U.S. GAAP for the fiscal years ended October 31, 2024 and October 31, 2023 (dollars in millions, except percentage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569.9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306.8</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Purchases of property, plant and equipment, net of proceeds from insurance claim</w:t>
            </w:r>
          </w:p>
        </w:tc>
        <w:tc>
          <w:tcPr>
            <w:tcW w:w="1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99.2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142.4</w:t>
            </w:r>
          </w:p>
        </w:tc>
      </w:tr>
      <w:tr>
        <w:trPr>
          <w:trHeight w:val="20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w:t>
            </w:r>
          </w:p>
        </w:tc>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470.7</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164.4</w:t>
            </w:r>
          </w:p>
        </w:tc>
      </w:tr>
      <w:tr>
        <w:trPr>
          <w:trHeight w:val="196"/>
        </w:trPr>
        <w:tc>
          <w:tcPr>
            <w:tcW w:w="6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418.9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329.7</w:t>
            </w:r>
          </w:p>
        </w:tc>
      </w:tr>
      <w:tr>
        <w:trPr>
          <w:trHeight w:val="221"/>
        </w:trPr>
        <w:tc>
          <w:tcPr>
            <w:tcW w:w="6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 conversion percentage</w:t>
            </w:r>
          </w:p>
        </w:tc>
        <w:tc>
          <w:tcPr>
            <w:tcW w:w="16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112.4 %</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certain of our sales promotions and incentives programs offered to customers that are determined to represent price concessions. The estimated expense of each sales promotion and incentive program is classified and recorded as a reduction from gross sales or as a component of SG&amp;A expense within the Consolidated Statements of Earnings when revenue is recognized, depending on the nature of the respective program. Generally, the cost of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 (ii) 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SG&amp;A expense because we receive a distinct good or service in exchange for the future consideration provided to the customer under the program.</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Our off-invoice discounts represent an immediate reduction in the selling price of our products that is realized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with no anticipated future cost or consideration provided to the customer.</w:t>
      </w:r>
    </w:p>
    <w:p>
      <w:pPr>
        <w:jc w:val="both"/>
        <w:ind w:left="340" w:hanging="332"/>
        <w:spacing w:after="0" w:line="250" w:lineRule="auto"/>
        <w:tabs>
          <w:tab w:leader="none" w:pos="3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Our rebate programs are generally based on claims submitted from either our direct customers or end-users of our products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Our financing programs consist of inventory financing arrangements with financial institutions and end-user financing.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End-user financing is offered to end-user customers under which we, at our discretion, may pay a portion of interest costs on behalf of end-users for financing purchases of our equipment.</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SG&amp;A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Commissions Paid to Distributors and Dealers</w:t>
      </w:r>
      <w:r>
        <w:rPr>
          <w:rFonts w:ascii="Times New Roman" w:cs="Times New Roman" w:eastAsia="Times New Roman" w:hAnsi="Times New Roman"/>
          <w:sz w:val="18"/>
          <w:szCs w:val="18"/>
          <w:color w:val="auto"/>
        </w:rPr>
        <w:t>: For certain products, we use a distribution network of distributors and dealers that purchase and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mass retailers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 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projected wholesale and retail sales volumes and the quantity or mix of products.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2024, we had recorded an accrual for sales promotion and incentive programs of $180.4 million within the Consolidated Balance Sheets. We believe that our accrual for sales promotion and incentive programs is adequate as of October 31, 2024 and historically has been adequate; however, due to the inherent uncertainty in the accrual estimation process, actual results may differ from these estimates if competitive factors dictate the need to enhance or modify sales promotion and incentive programs or if customer usage, product mix, or field inventory levels vary from historical trends.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Goodwill is initially recognized as a result of the excess of purchase consideration transferred over the estimated fair value of the net assets acquired in a business combination. As of October 31, 2024, our goodwill balance was $450.3 million. Goodwill is not amortized, but is assessed for impairment at the reporting unit level at least annually during the fourth quarter of each fiscal year unless events or changes in circumstances indicate that impairment may have occurred prior to the annual assessment. Based on a change made to our operating segments during the third quarter of fiscal 2024, as discussed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also changed our reporting units which became the same as our nine operating segments. The company tested goodwill of the new reporting units for impairment both before and following the change in reporting unit structure, and no impairment was identified. Seven of our reporting units contained goodwill on their respective balance sheets as of October 31, 2024.</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2024, consistent with prior fiscal years, we performed our annual quantitative goodwill impairment assessment, which is a one-step process. In performing the quantitative analysis, we compare the carrying value of a reporting unit, including goodwill, to its fair value.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fourth quarter annual quantitative goodwill impairment analysis, we determined there was no impairment of goodwill for any of our reporting units as the fair value of each reporting unit exceeded its respective carrying value, including goodwill. Further, the fair value of each reporting unit exceeded its respective carrying value, including goodwill, in excess of 15 percent.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reporting unit under the quantitative goodwill impairment test was determined using a discounted cash flow model under the income approach which requires the use of significant judgment regarding the selection of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("WACC") rate.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WACC rate could be increased by 140 basis points with no impairment indicated for any of our reporting units. Additionally, the terminal growth rate could be decreased by 210 basis points with no impairment indicated for any of our reporting units.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 capitalization, where applicable. As a final corroboratory step, we reconcile the aggregate estimated fair value of our reporting units resulting from the income approach to our company's market capitalization.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annual impairment assessment performed in the fourth quarter of fiscal 2024 supported the carrying amount of our goodwill, we may be required to re-evaluate the carrying amounts in future periods utilizing different inputs and assumptions that reflect the then current market conditions and expectations regarding our operating performance, which may result in a future impairment that could be 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Impairment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preparation of the financial statements for the third quarter of fiscal 2023, we concluded that impairment indicators existed for our Intimidator goodwill. Based on the resulting impairment assessment performed, we recorded an impairment charge of $133.3 million in the third quarter of fiscal 2023. For additional information regarding the impairment charge,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of the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are initially recognized at their estimated fair values as a result of a business combination or asset acquisition. As of October 31, 2024, our indefinite-lived intangible asset balances, which consist of certain trade names, were $271.6 million. Indefinite-lived intangible assets are not amortized, but are assessed for impairment at least annually during the fourth quarter of each fiscal year unless events or changes in circumstances indicate that impairment may have occurred prior to the annual assessment. We assess indefinite-lived intangible assets for impairment at the individual indefinite-lived intangible asset or asset group level, as appropriate.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2024, consistent with prior fiscal years, we performed our annual quantitative impairment assessment for indefinite-lived intangible assets by comparing the carrying amounts of each respective asset, or asset group, to its estimated fair value. If the fair value of the indefinite-lived intangible asset, or asset group, is less than its carrying value, an impairment loss is recognized in an amount equal to the excess. Based on our fourth quarter quantitative impairment analysis, we determined that our indefinite-lived intangible assets were not impaired as the estimated fair value of each of our indefinite-lived intangible assets exceeded its carrying value. Further, the fair value of each of our indefinite-lived intangible assets exceeded its carrying value in excess of 32 percent.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was determined using the relief-from-royalty method under the income approach which requires the use of significant judgment regarding the selection of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These inputs and assumptions contemplate business, industry, and overall economic conditions, as well as relevant market data for royalty rates of similar intangible assets. Actual future results may differ significantly from the assumptions used in our valuations resulting in future impairment losses and such losses could be material. As such estimates are sensitive to changes in the underlying inputs and assumptions, we performed sensitivity analyses to address this risk. The discount rate could be increased by 270 basis points with no impairment indicated for any of our indefinite-lived intangible assets. The royalty rate could be decreased by 70 basis points with no impairment indicated for any of our indefinite-lived intangible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Impairment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preparation of the financial statements for the third quarter of fiscal 2023, we concluded that impairment indicators existed for our indefinite-lived Spartan trade name intangible asset. Based on the resulting impairment assessment performed, we recorded an impairment charge of $18.0 million related to the indefinite-lived Spartan trade name intangible asset in the third quarter of fiscal 2023. For additional information regarding the impairment charge,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of the Notes to Consolidated Financial Statements.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the estimated fair values of our reporting units and indefinite-lived intangible assets, or asset groups, requires considerable judgment and such estimates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may negatively affect the underlying key inputs and assumptions and ultimately affect the estimated fair values of our reporting units and indefinite-lived intangible assets.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continued volatile supply chain environment and/or additional increases in the costs of commodities, component parts, and labor; lack of customer acceptance of new or innovative technologies; increased competition; and other factors.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our annual impairment assessment performed in the fourth quarter of fiscal 2024 supported the carrying amount of our indefinite-lived intangible assets, we may be required to re-evaluate the carrying amounts in future periods utilizing different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inputs and assumptions that reflect the then current market conditions and expectations regarding our operating performance, which may result in a future impairment that could be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time of sale, we recognize expense and record a warranty accrual by product line for estimated costs in connection with projected future warranty claims. Our estimate of the cost of future warranty claims is based primarily on the estimated number of products under warranty, historical average costs incurred to service warranty claims, the trend in the historical ratio of warranty 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 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$150.2 million warranty accrual as of October 31, 2024 is adequate and historically has been adequate; however, due to the inherent uncertainty in the accrual estimation process, including projecting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half of our inventories are valued at the lower of the cost of inventory or net realizable value, with cost determined by either the first-in, first-out or average cost method. Other inventories are valued at the lower of cost or market, with cost determined under the last-in, first-out method. As needed,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developing inventory valuation adjustments for excess, slow moving, and obsolete inventory, we are required to use judgment and make estimates of future sales demand and production requirements compared with current inventory levels. Our estimate of projected sales demand and production requirements is primarily based on actual orders received, historical demand, technological and product life cycle changes, product pricing, economic trends, and competitive factors, such as market and pricing trends for similar products. Although we believe our inventory valuation reserve for excess, slow-moving, and obsolete inventory is adequate at $47.8 million as of October 31, 2024, projecting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Projected sales demand and production requirements can also be affected by the significant redesign of our existing products or the replacement of an existing product by an entirely new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generation of product. It is possible that an unfavorable adjustment to our inventory valuation reserve for excess, slow moving, and obsolete inventory may be required in the future if there is a change in any of the aforementioned factors that adversely impacts our estimates of future demand for our products and we do not modify our purchases or production schedule accordingly.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we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of the measurement period are recorded within cost of sales or selling, general and administrative expense within the Consolidated Statements of Earnings depending on the nature of the adjustment.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our Notes to Consolidated Financial Statements under the section entitled "New Accounting Pronouncements."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in the Notes to Consolidated Financial Statements included in Part II, Item 8,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 of this Annual Report on Form 10-K.</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2025 through fiscal 2027. All items are non-trading and stated in U.S. dollars. As of October 31, 2024, the average contracted rate, notional amount, fair value, and the gain (loss) at fair value of outstanding derivative instruments were as follows (dollars in millions, except average contracted 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Average Contracted</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Gain (Loss) at Fair</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Australian dollar</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0.6652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82.5</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83.4</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Canadian dollar</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1.3485</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48.9</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 dollar/Sell Euro</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1.1094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 dollar/Sell British pound</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1.2716</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62.4</w:t>
            </w:r>
          </w:p>
        </w:tc>
        <w:tc>
          <w:tcPr>
            <w:tcW w:w="2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Mexican peso/Sell U.S. dollar</w:t>
            </w:r>
          </w:p>
        </w:tc>
        <w:tc>
          <w:tcPr>
            <w:tcW w:w="3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19.6210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Japanese yen/Sell U.S. dollar</w:t>
            </w:r>
          </w:p>
        </w:tc>
        <w:tc>
          <w:tcPr>
            <w:tcW w:w="3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152.4370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translation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indebtedness as of October 31, 2024 included $524.2 million of gross fixed rate debt that is not subject to variable interest rate fluctuations and $400.0 million of gross variable rate debt under our term loan credit agreements and revolving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facility. As of October 31, 2024, the estimated fair value of gross long-term debt with fixed interest rates was $520.4 million compared to its carrying amount of $524.2 million. Interest rate risk for fixed-rate, long-term debt is estimated as the potential increase in the fair value of gross fixed rate debt, resulting from a hypothetical 10 percent decrease in interest rates, and amounts to $16.3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the inability of suppliers to absorb incremental costs related to inefficiencies, continue operations or otherwise remain in business; financial difficulties;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our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the Notes to Consolidated Financial Statements for additional information regarding our stock-based compensation awards and our goodwill impairment analysis,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company's Chairman of the Board, President and Chief Executive Officer and Vice President, Chief Financial Officer, evaluated the effectiveness of the company's internal control over financial reporting as of October 31, 2024. In making this evaluation,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this assessment, management concluded that the company's internal control over financial reporting was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The company's internal control over financial reporting as of October 31, 2024 has been audited by KPMG LLP, an independent registered public accounting firm, as stated in their report, which is included herein.</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0" w:lineRule="exact"/>
        <w:rPr>
          <w:sz w:val="20"/>
          <w:szCs w:val="20"/>
          <w:color w:val="auto"/>
        </w:rPr>
      </w:pPr>
    </w:p>
    <w:p>
      <w:pPr>
        <w:spacing w:after="0" w:line="3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"Controls and Procedures" of this Annual Report on Form 10-K.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Toro Company and subsidiaries (the Company) as of October 31, 2024 and 2023, the related consolidated statements of earnings, comprehensive income, stockholders’ equity, and cash flows for each of the years in the three-year period ended October 31, 2024, and the related notes (collectively, the consolidated financial statements). We also have audited the Company’s internal control over financial reporting as of October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October 31, 2024 and 2023, and the results of its operations and its cash flows for each of the years in the three-year period ended October 31, 2024, in conformity with U.S. generally accepted accounting principles. Also in our opinion, the Company maintained, in all material respects, effective internal control over financial reporting as of October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Accrued sales promotions and incentives</w:t>
      </w:r>
    </w:p>
    <w:p>
      <w:pPr>
        <w:spacing w:after="0" w:line="11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at the time of sale, the Company records an estimate for sales promotion and incentive costs, a portion of which relates to rebate programs. As of October 31, 2024, the Company recorded an accrual of $180.4 million for sales promotions and incentives. The Company’s estimates for sales promotion and incentive costs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7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7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We tested sales promotions and incentives paid throughout the year by tracing a sample of payments to underlying documentation supporting the program terms to evaluate whether there have been any changes in other relevant trends. Additionally, we tested sales promotions and incentives paid subsequent to the balance sheet date by tracing a sample of payments to underlying documentation supporting the program terms to evaluate the accrual estimate.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Earnings</w:t>
      </w:r>
    </w:p>
    <w:p>
      <w:pP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7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4,583.8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4,553.2</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4,514.7</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3,034.5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2,975.6</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3,010.1</w:t>
            </w:r>
          </w:p>
        </w:tc>
      </w:tr>
      <w:tr>
        <w:trPr>
          <w:trHeight w:val="20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1,549.3</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1,577.6</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1,504.6</w:t>
            </w:r>
          </w:p>
        </w:tc>
      </w:tr>
      <w:tr>
        <w:trPr>
          <w:trHeight w:val="19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1,016.0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995.6</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928.9</w:t>
            </w:r>
          </w:p>
        </w:tc>
      </w:tr>
      <w:tr>
        <w:trPr>
          <w:trHeight w:val="203"/>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7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533.3</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575.7</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512.8</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400.5</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96"/>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93.9</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21"/>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329.7</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6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earnings per share of common stock</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94"/>
        </w:trPr>
        <w:tc>
          <w:tcPr>
            <w:tcW w:w="6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96"/>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earnings per share of common stock</w:t>
            </w: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81"/>
        </w:trPr>
        <w:tc>
          <w:tcPr>
            <w:tcW w:w="6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103.8</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104.4</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94"/>
        </w:trPr>
        <w:tc>
          <w:tcPr>
            <w:tcW w:w="6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96"/>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Diluted</w:t>
            </w: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104.4</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31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7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329.7</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r>
      <w:tr>
        <w:trPr>
          <w:trHeight w:val="19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95"/>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net of tax of $(2.3), $(4.1), and $7.2, respectively</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3"/>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benefits, net of tax of $(0.3), $(0.5), and $0.2, respectively</w:t>
            </w: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96"/>
        </w:trPr>
        <w:tc>
          <w:tcPr>
            <w:tcW w:w="6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21"/>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409.9</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83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8300" w:type="dxa"/>
            <w:vAlign w:val="bottom"/>
            <w:gridSpan w:val="4"/>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ASSETS</w:t>
            </w: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5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199.5</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Customers, net of allowances (2024 - $4.3; 2023 - $3.0)</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410.9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Receivables from finance affiliate</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receivables, net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459.7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1,038.9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1,087.8</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830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current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1,764.9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644.8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Goodwill</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finance affiliate</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830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3,582.8</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3,644.3</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53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LIABILITIES AND STOCKHOLDERS' EQUITY</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Advertising and sales promotions and incentives programs</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and benefit costs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Insurance</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830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976.0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99.1</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53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par value $1.00 per share, authorized 1,000,000 voting and 850,000 non-voting shares, none issued and outstanding</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0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rPr>
              <w:t>Common stock, par value $1.00 per share, authorized 175,000,000 shares; issued and outstanding 101,472,125 shares as of October 31, 2024</w:t>
            </w:r>
          </w:p>
        </w:tc>
        <w:tc>
          <w:tcPr>
            <w:tcW w:w="460" w:type="dxa"/>
            <w:vAlign w:val="bottom"/>
          </w:tcPr>
          <w:p>
            <w:pPr>
              <w:spacing w:after="0"/>
              <w:rPr>
                <w:sz w:val="12"/>
                <w:szCs w:val="12"/>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3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 103,843,485 shares as of October 31, 2023</w:t>
            </w: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1,496.4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830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1,551.9</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3,582.8</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3,644.3</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329.7</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income from finance affiliate</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(contributions to) finance affiliate, net</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93.7</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the effect of acquisitions: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203"/>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96"/>
        </w:trPr>
        <w:tc>
          <w:tcPr>
            <w:tcW w:w="5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569.9</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w:t>
            </w: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insurance claim</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Business combinations, net of cash acquired</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acquisitions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asset disposals</w:t>
            </w:r>
          </w:p>
        </w:tc>
        <w:tc>
          <w:tcPr>
            <w:tcW w:w="14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divestitures</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6"/>
        </w:trPr>
        <w:tc>
          <w:tcPr>
            <w:tcW w:w="5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(157.7)</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(548.3)</w:t>
            </w: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(repayments) borrowings under the revolving credit facility</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borrowings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repayments</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withholding taxes for stock awards</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TTC common stock</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TTC common stock</w:t>
            </w:r>
          </w:p>
        </w:tc>
        <w:tc>
          <w:tcPr>
            <w:tcW w:w="1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(141.9)</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r>
      <w:tr>
        <w:trPr>
          <w:trHeight w:val="203"/>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81"/>
        </w:trPr>
        <w:tc>
          <w:tcPr>
            <w:tcW w:w="59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18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81"/>
        </w:trPr>
        <w:tc>
          <w:tcPr>
            <w:tcW w:w="59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19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196"/>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beginning of the fiscal period</w:t>
            </w:r>
          </w:p>
        </w:tc>
        <w:tc>
          <w:tcPr>
            <w:tcW w:w="1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193.1</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r>
      <w:tr>
        <w:trPr>
          <w:trHeight w:val="196"/>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as of the end of the fiscal period</w:t>
            </w:r>
          </w:p>
        </w:tc>
        <w:tc>
          <w:tcPr>
            <w:tcW w:w="1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193.1</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27"/>
        </w:trPr>
        <w:tc>
          <w:tcPr>
            <w:tcW w:w="5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5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during the fiscal year for:</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6"/>
        </w:trPr>
        <w:tc>
          <w:tcPr>
            <w:tcW w:w="5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1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91.7</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165.2</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tcBorders>
              <w:top w:val="single" w:sz="8" w:color="auto"/>
            </w:tcBorders>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40" w:type="dxa"/>
            <w:vAlign w:val="bottom"/>
            <w:tcBorders>
              <w:top w:val="single" w:sz="8" w:color="auto"/>
            </w:tcBorders>
            <w:gridSpan w:val="2"/>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8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105.2</w:t>
            </w:r>
          </w:p>
        </w:tc>
        <w:tc>
          <w:tcPr>
            <w:tcW w:w="50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1,071.9</w:t>
            </w: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$1.20 per share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349,219 shares of common stock under stock-based compensation plans, less</w:t>
            </w: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33,162 shares of common stock to a deferred compensation trust</w:t>
            </w:r>
          </w:p>
        </w:tc>
        <w:tc>
          <w:tcPr>
            <w:tcW w:w="3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1,551,986 shares of common stock</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443.3</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104.0</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1,280.8</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$1.36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39"/>
        </w:trPr>
        <w:tc>
          <w:tcPr>
            <w:tcW w:w="5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499,145 shares of common stock under stock-based compensation plans, less</w:t>
            </w:r>
          </w:p>
        </w:tc>
        <w:tc>
          <w:tcPr>
            <w:tcW w:w="360" w:type="dxa"/>
            <w:vAlign w:val="bottom"/>
          </w:tcPr>
          <w:p>
            <w:pPr>
              <w:spacing w:after="0"/>
              <w:rPr>
                <w:sz w:val="12"/>
                <w:szCs w:val="12"/>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19.3</w:t>
            </w:r>
          </w:p>
        </w:tc>
        <w:tc>
          <w:tcPr>
            <w:tcW w:w="58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of 14,270 shares of common stock to a deferred compensation trust</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611,195 shares of common stock</w:t>
            </w:r>
          </w:p>
        </w:tc>
        <w:tc>
          <w:tcPr>
            <w:tcW w:w="3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329.7</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1,444.1</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on common stock - $1.44 per share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46"/>
        </w:trPr>
        <w:tc>
          <w:tcPr>
            <w:tcW w:w="5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502,917 shares of common stock under stock-based compensation plans, less</w:t>
            </w: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5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of 54,526 shares of common stock to a deferred compensation trust</w:t>
            </w:r>
          </w:p>
        </w:tc>
        <w:tc>
          <w:tcPr>
            <w:tcW w:w="3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5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2,819,729 shares of common stock</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418.9</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5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1,496.4</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THE TORO COMPANY AND SUBSIDIARIES •</w:t>
      </w:r>
    </w:p>
    <w:p>
      <w:pPr>
        <w:spacing w:after="0" w:line="399" w:lineRule="exact"/>
        <w:rPr>
          <w:sz w:val="20"/>
          <w:szCs w:val="20"/>
          <w:color w:val="auto"/>
        </w:rPr>
      </w:pPr>
    </w:p>
    <w:p>
      <w:pPr>
        <w:ind w:left="620" w:right="6900" w:hanging="594"/>
        <w:spacing w:after="0" w:line="186" w:lineRule="auto"/>
        <w:tabs>
          <w:tab w:leader="none" w:pos="620" w:val="left"/>
        </w:tabs>
        <w:numPr>
          <w:ilvl w:val="0"/>
          <w:numId w:val="32"/>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Summary of Significant Accounting Policies and Related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company sells its products worldwide through a network of distributors, dealers, mass retailers, hardware retailers, equipment rental centers, and home centers, as well as online and direct to end-users. The company strives to provide innovative, well-built, and dependable products supported by an extensive service network.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("GAAP") in the United States ("U.S.") and include the accounts of the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For additional information regarding the company's reportable business segments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applicable, the company accounts for the acquisition of a business in accordance with the accounting standards codification ("ASC") guidance for business combinations, whereby the total purchase consideration transferred is allocated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acquired and liabilities assumed, including amounts attributable to non-controlling interests, when applicable, based on their respective estimated fair values as of the date of acquisition. Goodwill represents the excess of purchase consideration transferred over the estimated fair value of the identifiable net assets acquired in a business combination.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would also affect the amount of goodwill impairment taken,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for additional information regarding the company's accounting for recent business combinations and asset acquisitions.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stated at cost, which approximates fair value. As of October 31, 2024 and 2023, cash and cash equivalents held by the company's foreign subsidiaries were $136.0 million and $91.1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projections of future events and economic conditions, when applicable. Receivables are written-off against the allowance for expected credit losses when all collection efforts have been exhausted.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financial exposure related to the collection of accounts receivable is reduced due to its inventory financing arrangements, as further discussed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receivables not serviced through inventory financing agreements, the company provides financing in the form of open account terms in the normal course of business and performs on-going credit evaluations of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and more specifically in our mass channel and international customers. The credit risk associated with these concentrations is limited because of the large number of customers in the company's customer base and their geographic dispersion. The credit risk associated with the company's derivative instruments is limited as the company enters into derivative instruments with multiple counterparties that are highly rated financial institutions.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inventory valuation methods. Inventories are valued at the lower of cost or net realizable value, with cost determined by the first-in, first-out ("FIFO") and average cost methods for approximately 53.6 percent and 58.5 percent of total net inventories as of October 31, 2024 and 2023, respectively. Other inventories are valued at the lower of cost or market, with cost determined under the last-in, first-out ("LIFO") method. During fiscal 2024 and fiscal 2023, LIFO layers were not materially reduced.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 As of October 31, 2024 and 2023, the company's inventory valuation adjustment for excess, slow-moving, and obsolete inventory was $47.8 million and $43.9 million,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work in process</w:t>
            </w:r>
          </w:p>
        </w:tc>
        <w:tc>
          <w:tcPr>
            <w:tcW w:w="3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384.8</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Finished goods and service parts</w:t>
            </w:r>
          </w:p>
        </w:tc>
        <w:tc>
          <w:tcPr>
            <w:tcW w:w="3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827.5</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844.2</w:t>
            </w:r>
          </w:p>
        </w:tc>
      </w:tr>
      <w:tr>
        <w:trPr>
          <w:trHeight w:val="20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FIFO value</w:t>
            </w:r>
          </w:p>
        </w:tc>
        <w:tc>
          <w:tcPr>
            <w:tcW w:w="3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1,212.3</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1,244.5</w:t>
            </w: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adjustment to LIFO value</w:t>
            </w:r>
          </w:p>
        </w:tc>
        <w:tc>
          <w:tcPr>
            <w:tcW w:w="3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173.4</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 net</w:t>
            </w:r>
          </w:p>
        </w:tc>
        <w:tc>
          <w:tcPr>
            <w:tcW w:w="3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1,038.9</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1,087.8</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generally accounts for depreciation of property, plant and equipment utilizing the straight-line half year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2024, 2023, and 2022, the company capitalized $3.1 million, $4.2 million, and $2.5 million of interest,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was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34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72.8</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372.1</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624.6</w:t>
            </w: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235.1</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3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116.9</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r>
      <w:tr>
        <w:trPr>
          <w:trHeight w:val="20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3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1,577.0</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1,541.0</w:t>
            </w: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932.2</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899.3</w:t>
            </w:r>
          </w:p>
        </w:tc>
      </w:tr>
      <w:tr>
        <w:trPr>
          <w:trHeight w:val="221"/>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4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2023, and 2022, the company recorded depreciation expense of $93.7 million, $83.5 million, and $74.9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impairment may have occurred prior to the annual assessment. The company tests goodwill for impairment at the reporting unit level and tests indefinite-lived intangible assets for impairment at the individual indefinite-lived intangible asset or asset group level, as appropriate. Goodwill and indefinite-lived intangible assets are assessed for impairment at least annually during the fourth quarter of each fiscal year unless events or changes in circumstances indicate that impairment may have occurred prior to the annual assessment.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Impairment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third quarter of fiscal 2023, the company identified deterioration in year-to-date fiscal 2023 results of Intimidator compared to previous expectations and resulting downward revisions to the company's projected future results of Intimidator made during the third quarter of fiscal 2023 as part of the company's annual long range strategic planning process, including future expected cash flows, which were significantly lower than previously expected. The underperformance was attributable to summer seasonality trends that did not materialize primarily due to reduced retail demand from homeowners who prefer professional solutions. This reduced retail demand from homeowners who prefer professional solutions was driven by persistent hot and dry weather patterns across key regions, coupled with a number of macro factors, including higher interest rates, economic uncertainty, and consumer spending preferences following the exceptional demand during the pandemic. Additionally, the company had previously replenished the Intimidator customer channel, which, combined with the reduced retail demand, caused a significant reduction in shipments and customer reorders during the third quarter of fiscal 2023, as well as a material reduction in projected future financial results for Intimidator. Based on these factors, the company concluded it was more likely than not that both the indefinite-lived Spartan trade name intangible asset and the Intimidator goodwill were impaired and thus performed quantitative impairment analyses.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Spartan trade name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Fair value under the quantitative goodwill impairment test was determined using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Inputs used to estimate these fair values included significant unobservable inputs that reflect the company’s assumptions about the inputs that market participants would use and, therefore, the fair value assessments are classified within Level 3 of the fair value hierarchy.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analyses, at the end of the third quarter of fiscal 2023, the company recorded an impairment charge of $18.0 million related to the indefinite-lived Spartan trade name intangible asset reported under the Professional segment. Further, during the same period, the company recorded an impairment charge of $133.3 million related to Intimidator goodwill also reported under the Professional segment. Subsequent to these impairment charges, the remaining balance of the indefinite-lived Spartan trade name intangible asset is $81.1 million and the remaining balance of Intimidator goodwill is $30.5 million. These impairment charges are included in the Non-cash impairment charges caption on the Consolidated Statements of Earnings. These impairment charges resulted in a $36.7 million income tax benefit (deferred tax asset) associated with the remaining tax deductible basis in goodwill and other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Year Impairment Tests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on a change made to our operating segments during the third quarter of fiscal 2024, as discussed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the company also changed its reporting units which became the same as the company's nine operating segments. The company tested goodwill of the new reporting units for impairment both before and following the change in reporting unit structure, and no impairment was identified. Seven reporting units contained goodwill on their respective balance sheets as of October 31,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2024, the company performed its annual goodwill impairment test.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 flow model under the income approach, which utilized various inputs and assumptions, including projected operating results and growth rates from the company's projection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quantitative annual goodwill impairment analysis performed in the fourth quarter of fiscal 2024, the company determined there was no impairment of goodwill for any of its reporting units.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2024, the company also performed a quantitative impairment analysis for its 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If the fair value of the indefinite-lived intangible asset, or asset group, is less than its carrying value, an impairment loss is recognized in an amount equal to the excess. Based on this quantitative impairment analysis performed in the fourth quarter of fiscal 2024, the company concluded its indefinite-lived intangible assets were not impaired.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 on a straight-line basis over their expected useful lives, which typically range from several months to 20 years depending on the nature of the finite-lived intangible asset.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generally measured using a discounted cash flow model or independent appraisals, as appropriate. The company did not record an impairment loss for fiscal 2024, 2023, and 2022 as the company's long-lived assets were determined to not be at risk for impairment as no events or changes in circumstances were identified that would indicate that the carrying amount of an asset, or asset group, may not be recoverable.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expense is recognized over the revised estimated useful life.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October 31, 2024 and 2023, $98.8 million and $99.6 million, respectively, of the company's outstanding payment obligations were financed by participating suppliers through the third-party financial institution's supply chain finance web-based platform. These obligations are presented within accounts payable in the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time of sale, the company recognizes expense and records an accrual by product line for estimated costs in connection with projected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9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143.9</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accrual related to warranties issued during the period</w:t>
            </w:r>
          </w:p>
        </w:tc>
        <w:tc>
          <w:tcPr>
            <w:tcW w:w="19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77.0</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made during the period</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(84.5)</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r>
      <w:tr>
        <w:trPr>
          <w:trHeight w:val="203"/>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accrual related to pre-existing warranties</w:t>
            </w:r>
          </w:p>
        </w:tc>
        <w:tc>
          <w:tcPr>
            <w:tcW w:w="19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150.2</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143.9</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27"/>
        </w:trPr>
        <w:tc>
          <w:tcPr>
            <w:tcW w:w="5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 instruments, consisting primarily of forward currency contracts, are used to hedge most foreign currency transactions, including projected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 Balance Sheets as a direct deduction from the carrying amount of the outstanding borrowings, consistent with debt discounts. However, the company classifies the debt issuance costs related to its $900.0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$4.6 million and $3.8 million as of October 31, 2024 and 2023,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 classified as a reduction from gross 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50" w:lineRule="exact"/>
        <w:rPr>
          <w:sz w:val="20"/>
          <w:szCs w:val="20"/>
          <w:color w:val="auto"/>
        </w:rPr>
      </w:pPr>
    </w:p>
    <w:p>
      <w:pPr>
        <w:ind w:left="340" w:hanging="332"/>
        <w:spacing w:after="0" w:line="263"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The company's off-invoice discounts represent an immediate reduction in the selling price of the company's products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realized at the time of sale with no anticipated future cost or consideration provided to the customer.</w:t>
      </w:r>
    </w:p>
    <w:p>
      <w:pPr>
        <w:jc w:val="both"/>
        <w:ind w:left="340" w:hanging="332"/>
        <w:spacing w:after="0" w:line="250"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The company's rebate programs are generally based on claims submitted from either the company's direct customers or end-users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The company's financing programs consist of inventory financing arrangements with financial institutions and end-user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Costs incurred for inventory financing arrangements represent dealer and distributor financing costs shared by the company for a pre-established length of time based on a predefined rate from the contract between the company and the financial institution to finance dealer and distributor inventory purchases. Inventory financing arrangement costs were $100.9 million, $114.7 million, and $46.3 million for the fiscal years ended October 31, 2024, 2023, and 2022, respectively. End-user financing is offered to end-user customers under which the company, at its discretion, may pay a portion of interest costs on behalf of end-users for financing purchases of the company's equipment.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50" w:lineRule="exact"/>
        <w:rPr>
          <w:sz w:val="20"/>
          <w:szCs w:val="20"/>
          <w:color w:val="auto"/>
        </w:rPr>
      </w:pPr>
    </w:p>
    <w:p>
      <w:pPr>
        <w:jc w:val="both"/>
        <w:ind w:left="340" w:hanging="332"/>
        <w:spacing w:after="0" w:line="254"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Commissions Paid to Distributors and Dealers: </w:t>
      </w:r>
      <w:r>
        <w:rPr>
          <w:rFonts w:ascii="Times New Roman" w:cs="Times New Roman" w:eastAsia="Times New Roman" w:hAnsi="Times New Roman"/>
          <w:sz w:val="18"/>
          <w:szCs w:val="18"/>
          <w:color w:val="auto"/>
        </w:rPr>
        <w:t>For certain products, the company uses a distribution network of dealers and distributors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mass retail and home centers.</w:t>
      </w:r>
    </w:p>
    <w:p>
      <w:pPr>
        <w:spacing w:after="0" w:line="3"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 on advertising costs incurred by distributors and dealers for promoting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 historical payment and rebate claims experience, field inventory levels, quantity or mix of products purchased, projected sales volumes, types of programs offered, and expectations for the acceptance of sales promotion and incentive programs offered in the future or changes in other relevant trends.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 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advertising costs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$69.5 million, $77.6 million, and $58.3 million for the fiscal years ended October 31, 2024, 2023, and 2022,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or enhancements to existing products, and cost reduction efforts. Costs incurred for engineering and research activities were $173.1 million, $173.9 million, and $155.6 million for the fiscal years ended October 31, 2024, 2023, and 2022,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applicable equity and incentive plan document.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For additional information on The Toro Company 2022 Equity and Incentive Plan,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the company's proportionate share of income or losses from Red Iron, gains or losses on divestitures,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earnings per share is calculated as net earnings available to common stockholders divided by the weighted-average number of shares of common stock outstanding during the year plus the assumed issuance of contingent shares related to performance share awards under the company's equity and incentive plans.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59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6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Basic</w:t>
            </w:r>
          </w:p>
        </w:tc>
        <w:tc>
          <w:tcPr>
            <w:tcW w:w="26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540" w:type="dxa"/>
            <w:vAlign w:val="bottom"/>
            <w:tcBorders>
              <w:top w:val="single" w:sz="8" w:color="CCEEFF"/>
            </w:tcBorders>
            <w:shd w:val="clear" w:color="auto" w:fill="CCEEFF"/>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w:t>
            </w:r>
          </w:p>
        </w:tc>
        <w:tc>
          <w:tcPr>
            <w:tcW w:w="26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103.8</w:t>
            </w: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104.4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21"/>
        </w:trPr>
        <w:tc>
          <w:tcPr>
            <w:tcW w:w="20" w:type="dxa"/>
            <w:vAlign w:val="bottom"/>
            <w:tcBorders>
              <w:bottom w:val="single" w:sz="8" w:color="auto"/>
            </w:tcBorders>
            <w:shd w:val="clear" w:color="auto" w:fill="CCEEFF"/>
          </w:tcPr>
          <w:p>
            <w:pPr>
              <w:spacing w:after="0"/>
              <w:rPr>
                <w:sz w:val="18"/>
                <w:szCs w:val="18"/>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26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103.8</w:t>
            </w:r>
          </w:p>
        </w:tc>
        <w:tc>
          <w:tcPr>
            <w:tcW w:w="1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104.4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5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6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Basic</w:t>
            </w:r>
          </w:p>
        </w:tc>
        <w:tc>
          <w:tcPr>
            <w:tcW w:w="26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103.8</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104.4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59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6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0.6</w:t>
            </w:r>
          </w:p>
        </w:tc>
        <w:tc>
          <w:tcPr>
            <w:tcW w:w="1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6"/>
        </w:trPr>
        <w:tc>
          <w:tcPr>
            <w:tcW w:w="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Weighted-average number of shares of common stock outstanding – Diluted</w:t>
            </w:r>
          </w:p>
        </w:tc>
        <w:tc>
          <w:tcPr>
            <w:tcW w:w="26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104.4</w:t>
            </w: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105.3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Incremental shares from stock options and restricted stock units are computed under the treasury stock method. Stock option awards to purchase 1,738,948, 573,662, and 906,121 shares of common stock during fiscal 2024, 2023, and 2022, respectively, were excluded from the computation of diluted net earnings per share of common stock because they were anti-dilutive.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No. 2024-03, Income Statement—Reporting Comprehensive Income —Expense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Consolidated Financial Statements and related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Consolidated Financial Statements and related disclosures.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will become effective for the company's fiscal 2025 annual period, and interim periods beginning with the first quarter of fiscal 2026. The company is currently evaluating the impact of this new standard on its Consolidated Financial Statements and related disclosures.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Consolidated Financial Statements. For additional information regarding the company's supplier finance program, refer to Note 11,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83" w:lineRule="exact"/>
        <w:rPr>
          <w:sz w:val="20"/>
          <w:szCs w:val="20"/>
          <w:color w:val="auto"/>
        </w:rPr>
      </w:pPr>
    </w:p>
    <w:p>
      <w:pPr>
        <w:ind w:left="620" w:hanging="594"/>
        <w:spacing w:after="0"/>
        <w:tabs>
          <w:tab w:leader="none" w:pos="620" w:val="left"/>
        </w:tabs>
        <w:numPr>
          <w:ilvl w:val="0"/>
          <w:numId w:val="3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Acquisitions and Divestitures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2023, during the third quarter of fiscal 2023, the company completed the acquisition of substantially all of the assets of, and assumed certain liabilities for, a U.S. based dealer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third quarter of fiscal 2023. Additional purchase accounting disclosures have been omitted due to immateriality of this acquisition in relation to the company's consolidated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Intimidator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("Intimidator closing date"), during the first quarter of fiscal 2022, the company acquired the privately-held Intimidator for net aggregate purchase consideration of $399.8 million ("the purchase price"). Intimidator primarily designs, manufactures, markets, and sells a commercial-grade line of zero-turn mowers under the Spartan brand, which are intended to provide innovative turf management solutions to landscape contractors and other customers including homeowners who prefer professional solutions. The acquisition of Intimidator broadened the company's Professional segment and expanded its manufacturing footprint and dealer network.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Intimidator Purchase Price Allocation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accounted for the Intimidator acquisition in accordance with the accounting standards codification guidance for business combinations, whereby the purchase price was allocated to the acquired net tangible and intangible assets of Intimidator based on their fair values as of the Intimidator closing date. During the first quarter of fiscal 2023, the company completed its valuation of income taxes to finalize the purchase price allocation. The following table summarizes the allocation of the purchase price to the fair values assigned to the Intimidator assets acquired and liabilities assumed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January 13, 2022</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Indefinite-lived other intangible assets:</w:t>
            </w: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names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Finite-lived other intangible assets:</w:t>
            </w: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Customer-related</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95"/>
        </w:trPr>
        <w:tc>
          <w:tcPr>
            <w:tcW w:w="6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names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Backlog</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3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37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net assets acquired</w:t>
            </w:r>
          </w:p>
        </w:tc>
        <w:tc>
          <w:tcPr>
            <w:tcW w:w="3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r>
      <w:tr>
        <w:trPr>
          <w:trHeight w:val="203"/>
        </w:trPr>
        <w:tc>
          <w:tcPr>
            <w:tcW w:w="6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37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purchase price</w:t>
            </w:r>
          </w:p>
        </w:tc>
        <w:tc>
          <w:tcPr>
            <w:tcW w:w="3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399.8</w:t>
            </w:r>
          </w:p>
        </w:tc>
      </w:tr>
      <w:tr>
        <w:trPr>
          <w:trHeight w:val="27"/>
        </w:trPr>
        <w:tc>
          <w:tcPr>
            <w:tcW w:w="6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The acquisition was considered an asset purchase for income tax purposes and as a result, the goodwill arising from the transaction is deductible.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Intimidator Intangible Assets Acquired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allocation of the purchase price to the net assets acquired resulted in the recognition of $184.2 million of value for other intangible assets as of the Intimidator closing date. The fair values of the acquired trade names and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Intimidator closing date, the acquired finite-lived intangible assets had a weighted average useful life of 9.5 years. The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Intimidator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Intimidator closing date, the weighted-average useful lives of the customer-related and backlog intangible assets were determined to be 9.6 years and nine months,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third quarter of fiscal 2023, the company recorded an impairment charge of $18.0 million related to the indefinite-lived Spartan trade name intangible asset. Further, during the same period,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company recorded an impairment charge of $133.3 million related to Intimidator goodwill. For additional information regarding these impairment charges, refer to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2022, during the third quarter of fiscal 2022, the company completed the acquisition of certain assets of Voigt Smith Innovation LLC, a manufacturer of liquid deicing equipment, brine makers and applicators, related smart-connected technologies, and hydroseeding products. On June 20, 2022, during the third quarter of fiscal 2022, the company completed the acquisition of certain assets of Tornado Global Hydrovacs Ltd. (“Tornado”), a designer and manufacturer of hydrovac trucks. On June 21, 2022, during the third quarter of fiscal 2022, the company completed the acquisition of certain assets of River City Manufacturing, Inc., a manufacturer of custom rock saws. These asset acquisitions pertain to the company's Professional segment.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None of these acquisitions met the definition of business combinations as substantially all of the fair value of the gross assets acquired in each acquisition was concentrated in the respective finite-lived developed technology intangible assets.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Pope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2024, during the third quarter of fiscal 2024, the company completed the sale of its Pope Products garden watering and irrigation business based in Australia. The financial results related to the Pope Products business have historically been included in the company's Residential segment. The divestiture was immaterial in relation to the company's Consolidated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completed the divestitures of two underground construction equipment dealers, the results of which have historically been included in the company's Professional segment. The divestitures were immaterial in relation to the company's Consolidated Financial Condition and Results of Operations.</w:t>
      </w:r>
    </w:p>
    <w:p>
      <w:pPr>
        <w:spacing w:after="0" w:line="97" w:lineRule="exact"/>
        <w:rPr>
          <w:sz w:val="20"/>
          <w:szCs w:val="20"/>
          <w:color w:val="auto"/>
        </w:rPr>
      </w:pPr>
    </w:p>
    <w:p>
      <w:pPr>
        <w:ind w:left="620" w:hanging="594"/>
        <w:spacing w:after="0"/>
        <w:tabs>
          <w:tab w:leader="none" w:pos="620" w:val="left"/>
        </w:tabs>
        <w:numPr>
          <w:ilvl w:val="0"/>
          <w:numId w:val="3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determination is based on the manner in which the CODM organizes segments for making operating and investment decisions and assessing performance. In the third quarter of fiscal 2024, the company modified the level at which information was being reviewed, including modification to the reporting packages and materials regularly reviewed by the CODM to evaluate the company’s operating results to assess performance and allocate resources. As a result, the company has identified nine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For a summary of our products by market for our Professional and Residential reportable segments, refer to refer to Part I, Item 1, "Business," of this Annual Report on Form 10-K.</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remaining activities consists of the company's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and deferred tax assets and liabilities. These remaining activities are presented as "Other" due to their insignificance.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The company evaluates the performance of its Professional and Residential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segment results based on earnings from operations plus other income, net. The reportable business segment's operating profits or losses include direct costs incurred at the reportable business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company's domestic wholly-owned distribution company, certain corporate activities, other income, and interest expense. The company accounts for intersegment gross sales at current market prices.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business segments and Other activities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18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92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2,673.6</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521.2</w:t>
            </w:r>
          </w:p>
        </w:tc>
        <w:tc>
          <w:tcPr>
            <w:tcW w:w="9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388.0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3,582.8</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196"/>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94.6</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9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18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92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9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r>
              <w:rPr>
                <w:rFonts w:ascii="Times New Roman" w:cs="Times New Roman" w:eastAsia="Times New Roman" w:hAnsi="Times New Roman"/>
                <w:sz w:val="18"/>
                <w:szCs w:val="18"/>
                <w:color w:val="auto"/>
                <w:vertAlign w:val="superscript"/>
              </w:rPr>
              <w:t>1</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509.1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2,679.6</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565.1</w:t>
            </w:r>
          </w:p>
        </w:tc>
        <w:tc>
          <w:tcPr>
            <w:tcW w:w="9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3,644.3</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96"/>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9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2022</w:t>
            </w:r>
          </w:p>
        </w:tc>
        <w:tc>
          <w:tcPr>
            <w:tcW w:w="18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3,429.6</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1,068.6</w:t>
            </w:r>
          </w:p>
        </w:tc>
        <w:tc>
          <w:tcPr>
            <w:tcW w:w="92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4,514.7</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gross sales (eliminations)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112.7</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2,702.8</w:t>
            </w:r>
          </w:p>
        </w:tc>
        <w:tc>
          <w:tcPr>
            <w:tcW w:w="2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501.6</w:t>
            </w:r>
          </w:p>
        </w:tc>
        <w:tc>
          <w:tcPr>
            <w:tcW w:w="9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3,556.0</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r>
      <w:tr>
        <w:trPr>
          <w:trHeight w:val="196"/>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82.7</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9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r>
    </w:tbl>
    <w:p>
      <w:pPr>
        <w:spacing w:after="0" w:line="180" w:lineRule="exact"/>
        <w:rPr>
          <w:sz w:val="20"/>
          <w:szCs w:val="20"/>
          <w:color w:val="auto"/>
        </w:rPr>
      </w:pPr>
    </w:p>
    <w:p>
      <w:pPr>
        <w:jc w:val="both"/>
        <w:ind w:left="180" w:right="20" w:hanging="172"/>
        <w:spacing w:after="0"/>
        <w:tabs>
          <w:tab w:leader="none" w:pos="158"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Professional reportable segment earnings (loss) before income taxes includes $151.3 million of non-cash impairment charges recorded during the preparation of the financial statements for the third quarter of fiscal 2023 related to Intimidator. For additional information regarding the impairment charges, refer to Note 1, </w:t>
      </w:r>
      <w:r>
        <w:rPr>
          <w:rFonts w:ascii="Times New Roman" w:cs="Times New Roman" w:eastAsia="Times New Roman" w:hAnsi="Times New Roman"/>
          <w:sz w:val="14"/>
          <w:szCs w:val="14"/>
          <w:i w:val="1"/>
          <w:iCs w:val="1"/>
          <w:color w:val="auto"/>
        </w:rPr>
        <w:t>Summary of Significant Accounting Policies and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Data</w:t>
      </w:r>
      <w:r>
        <w:rPr>
          <w:rFonts w:ascii="Times New Roman" w:cs="Times New Roman" w:eastAsia="Times New Roman" w:hAnsi="Times New Roman"/>
          <w:sz w:val="14"/>
          <w:szCs w:val="14"/>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2023, and 2022, no customers accounted for 10.0 percent or more of total consolidated gross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operating loss before income taxes for the company's Other activities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9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(151.8)</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9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3"/>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from the company's wholly-owned domestic distribution company and other income, net</w:t>
            </w: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operating loss</w:t>
            </w: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(177.5)</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27"/>
        </w:trPr>
        <w:tc>
          <w:tcPr>
            <w:tcW w:w="6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geographic area data includes net sales based on product shipment destination and long-lived assets, which consist of property, plant and equipment, net, and is based on physical location in addition to allocated capital tooling from U.S. plant facilities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7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2024</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3,660.8</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923.0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4,583.8</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0" w:type="dxa"/>
            <w:vAlign w:val="bottom"/>
          </w:tcPr>
          <w:p>
            <w:pPr>
              <w:spacing w:after="0"/>
              <w:rPr>
                <w:sz w:val="1"/>
                <w:szCs w:val="1"/>
                <w:color w:val="auto"/>
              </w:rPr>
            </w:pPr>
          </w:p>
        </w:tc>
      </w:tr>
      <w:tr>
        <w:trPr>
          <w:trHeight w:val="19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2023</w:t>
            </w: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3,605.5</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947.7</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540.4</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101.3</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2022</w:t>
            </w: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3,635.5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879.2</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4,514.7</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505.9</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hanging="594"/>
        <w:spacing w:after="0"/>
        <w:tabs>
          <w:tab w:leader="none" w:pos="620" w:val="left"/>
        </w:tabs>
        <w:numPr>
          <w:ilvl w:val="0"/>
          <w:numId w:val="38"/>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similar product type and geographic market (dollars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18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3,133.5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981.1</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4,134.2</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Irrigation</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423.4</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1"/>
        </w:trPr>
        <w:tc>
          <w:tcPr>
            <w:tcW w:w="39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2,766.4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865.8</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3,660.8</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Countries</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790.5</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132.5</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3,556.9</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4,583.8</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18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3,236.9</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819.2</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4,069.2</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Irrigation</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437.7</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1"/>
        </w:trPr>
        <w:tc>
          <w:tcPr>
            <w:tcW w:w="39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2,898.5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682.6</w:t>
            </w:r>
          </w:p>
        </w:tc>
        <w:tc>
          <w:tcPr>
            <w:tcW w:w="10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3,605.5</w:t>
            </w:r>
          </w:p>
        </w:tc>
      </w:tr>
      <w:tr>
        <w:trPr>
          <w:trHeight w:val="203"/>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 Countries</w:t>
            </w:r>
          </w:p>
        </w:tc>
        <w:tc>
          <w:tcPr>
            <w:tcW w:w="1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776.1</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171.6</w:t>
            </w: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w:t>
            </w:r>
          </w:p>
        </w:tc>
      </w:tr>
      <w:tr>
        <w:trPr>
          <w:trHeight w:val="19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3,674.6</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854.2</w:t>
            </w:r>
          </w:p>
        </w:tc>
        <w:tc>
          <w:tcPr>
            <w:tcW w:w="10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4,553.2</w:t>
            </w:r>
          </w:p>
        </w:tc>
      </w:tr>
      <w:tr>
        <w:trPr>
          <w:trHeight w:val="27"/>
        </w:trPr>
        <w:tc>
          <w:tcPr>
            <w:tcW w:w="3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2022</w:t>
            </w:r>
          </w:p>
        </w:tc>
        <w:tc>
          <w:tcPr>
            <w:tcW w:w="19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product type:</w:t>
            </w:r>
          </w:p>
        </w:tc>
        <w:tc>
          <w:tcPr>
            <w:tcW w:w="1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3,003.0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1,039.2</w:t>
            </w:r>
          </w:p>
        </w:tc>
        <w:tc>
          <w:tcPr>
            <w:tcW w:w="9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4,048.6</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Irrigation</w:t>
            </w:r>
          </w:p>
        </w:tc>
        <w:tc>
          <w:tcPr>
            <w:tcW w:w="19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426.6</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w:t>
            </w: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w:t>
            </w:r>
          </w:p>
        </w:tc>
      </w:tr>
      <w:tr>
        <w:trPr>
          <w:trHeight w:val="19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3,429.6</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1,068.6</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4,514.7</w:t>
            </w:r>
          </w:p>
        </w:tc>
      </w:tr>
      <w:tr>
        <w:trPr>
          <w:trHeight w:val="27"/>
        </w:trPr>
        <w:tc>
          <w:tcPr>
            <w:tcW w:w="3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3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by geographic market:</w:t>
            </w:r>
          </w:p>
        </w:tc>
        <w:tc>
          <w:tcPr>
            <w:tcW w:w="1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2,737.9</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881.1</w:t>
            </w:r>
          </w:p>
        </w:tc>
        <w:tc>
          <w:tcPr>
            <w:tcW w:w="9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3,635.5</w:t>
            </w:r>
          </w:p>
        </w:tc>
      </w:tr>
      <w:tr>
        <w:trPr>
          <w:trHeight w:val="20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19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691.7</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187.5</w:t>
            </w: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879.2</w:t>
            </w:r>
          </w:p>
        </w:tc>
      </w:tr>
      <w:tr>
        <w:trPr>
          <w:trHeight w:val="196"/>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1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3,429.6</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1,068.6</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4,514.7</w:t>
            </w:r>
          </w:p>
        </w:tc>
      </w:tr>
      <w:tr>
        <w:trPr>
          <w:trHeight w:val="27"/>
        </w:trPr>
        <w:tc>
          <w:tcPr>
            <w:tcW w:w="3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a customer distribution center or warehouse whereby the company retains control of the product stored at the customer's distribution center or warehouse. As the company's products are removed from the distribution center or warehouse by the customer and shipped to the retail sale location, control is transferred from the company to the customer. At that time, the company invoices the customer and recognizes revenue for these consignment transactions. The company does not offer a right of return for products shipped to the customer's retail sale location from the distribution center or warehouse. The total value of consignment inventory as of October 31, 2024 and 2023 was $18.0 million and $38.3 million, respectively.</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off-invoice 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projected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 primarily on historical experience, anticipated sales returns estimated from sales terms, trend analysis, and other factors. The company records the obligation for 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Collectability from the customer for product revenue is generally assumed to be probable because the company's financial exposure related to accounts receivable is reduced due to its dealer and distributor inventory financing programs. For additional information regarding these programs, refer to Note 11,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 company's product sales to customers that do not elect to finance product purchases are generally on open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terms that generally approximate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30 to 150 days. The resulting receivables are included within receivables, net on the Consolidated Balance Sheets. The company performs ongoing credit evaluations of customers on open account terms in order to assess collectability.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Extended Warranty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2024 and October 31, 2023, $29.6 million and $25.6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2024, the company recognized $12.0 million of the October 31, 2023 deferred revenue balance. The company expects to recognize approximately $14.1 million of the October 31, 2024 deferred revenue balance within net sales in the Consolidated Statements of Earnings in fiscal 2025 and $15.5 million thereafter.</w:t>
      </w:r>
    </w:p>
    <w:p>
      <w:pPr>
        <w:spacing w:after="0" w:line="115" w:lineRule="exact"/>
        <w:rPr>
          <w:sz w:val="20"/>
          <w:szCs w:val="20"/>
          <w:color w:val="auto"/>
        </w:rPr>
      </w:pPr>
    </w:p>
    <w:p>
      <w:pPr>
        <w:ind w:left="620" w:hanging="594"/>
        <w:spacing w:after="0"/>
        <w:tabs>
          <w:tab w:leader="none" w:pos="620" w:val="left"/>
        </w:tabs>
        <w:numPr>
          <w:ilvl w:val="0"/>
          <w:numId w:val="3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fiscal 2024 and 2023 were as follows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573.0</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7"/>
              </w:rPr>
              <w:t>10.3</w:t>
            </w:r>
          </w:p>
        </w:tc>
        <w:tc>
          <w:tcPr>
            <w:tcW w:w="10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w:t>
            </w: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impairment charge</w:t>
            </w:r>
          </w:p>
        </w:tc>
        <w:tc>
          <w:tcPr>
            <w:tcW w:w="20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(133.3)</w:t>
            </w:r>
          </w:p>
        </w:tc>
        <w:tc>
          <w:tcPr>
            <w:tcW w:w="1060" w:type="dxa"/>
            <w:vAlign w:val="bottom"/>
          </w:tcPr>
          <w:p>
            <w:pPr>
              <w:spacing w:after="0"/>
              <w:rPr>
                <w:sz w:val="16"/>
                <w:szCs w:val="16"/>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4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r>
      <w:tr>
        <w:trPr>
          <w:trHeight w:val="203"/>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2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440.5</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7"/>
              </w:rPr>
              <w:t>10.3</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divested</w:t>
            </w:r>
          </w:p>
        </w:tc>
        <w:tc>
          <w:tcPr>
            <w:tcW w:w="20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21"/>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440.4</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w:t>
            </w: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were as follows (dollars in millions, except weighted-average useful life in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20" w:type="dxa"/>
            <w:vAlign w:val="bottom"/>
            <w:tcBorders>
              <w:top w:val="single" w:sz="8" w:color="auto"/>
            </w:tcBorders>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319.9</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(128.0)</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451.7</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(224.6)</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271.6</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723.3</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(224.6)</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220" w:type="dxa"/>
            <w:vAlign w:val="bottom"/>
            <w:tcBorders>
              <w:top w:val="single" w:sz="8" w:color="auto"/>
            </w:tcBorders>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0" w:type="dxa"/>
            <w:vAlign w:val="bottom"/>
          </w:tcPr>
          <w:p>
            <w:pPr>
              <w:spacing w:after="0"/>
              <w:rPr>
                <w:sz w:val="1"/>
                <w:szCs w:val="1"/>
                <w:color w:val="auto"/>
              </w:rPr>
            </w:pPr>
          </w:p>
        </w:tc>
      </w:tr>
      <w:tr>
        <w:trPr>
          <w:trHeight w:val="19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102.0</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Backlog and other</w:t>
            </w: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471.0</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Indefinite-lived - trade names</w:t>
            </w:r>
          </w:p>
        </w:tc>
        <w:tc>
          <w:tcPr>
            <w:tcW w:w="3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271.5</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 net</w:t>
            </w:r>
          </w:p>
        </w:tc>
        <w:tc>
          <w:tcPr>
            <w:tcW w:w="3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742.5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finite-lived intangible assets for the fiscal years ended October 31, 2024, 2023, and 2022 was $34.5 million, $35.7 million, and $33.9 million, respectively. Estimated amortization expense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60" w:type="dxa"/>
            <w:vAlign w:val="bottom"/>
            <w:tcBorders>
              <w:top w:val="single" w:sz="8" w:color="auto"/>
            </w:tcBorders>
          </w:tcPr>
          <w:p>
            <w:pPr>
              <w:spacing w:after="0"/>
              <w:rPr>
                <w:sz w:val="13"/>
                <w:szCs w:val="13"/>
                <w:color w:val="auto"/>
              </w:rPr>
            </w:pPr>
          </w:p>
        </w:tc>
        <w:tc>
          <w:tcPr>
            <w:tcW w:w="40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4040" w:type="dxa"/>
            <w:vAlign w:val="bottom"/>
          </w:tcPr>
          <w:p>
            <w:pPr>
              <w:spacing w:after="0"/>
              <w:rPr>
                <w:sz w:val="12"/>
                <w:szCs w:val="12"/>
                <w:color w:val="auto"/>
              </w:rPr>
            </w:pPr>
          </w:p>
        </w:tc>
        <w:tc>
          <w:tcPr>
            <w:tcW w:w="11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estimated amortization expense</w:t>
            </w:r>
          </w:p>
        </w:tc>
        <w:tc>
          <w:tcPr>
            <w:tcW w:w="4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4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6</w:t>
            </w:r>
          </w:p>
        </w:tc>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 (dollars in millions):</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7160" w:type="dxa"/>
            <w:vAlign w:val="bottom"/>
            <w:tcBorders>
              <w:bottom w:val="single" w:sz="8" w:color="auto"/>
            </w:tcBorders>
            <w:gridSpan w:val="2"/>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90"/>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2029</w:t>
            </w:r>
          </w:p>
        </w:tc>
        <w:tc>
          <w:tcPr>
            <w:tcW w:w="1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loan, due October 2029</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April 2027</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16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203"/>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w:t>
            </w:r>
          </w:p>
        </w:tc>
      </w:tr>
      <w:tr>
        <w:trPr>
          <w:trHeight w:val="196"/>
        </w:trPr>
        <w:tc>
          <w:tcPr>
            <w:tcW w:w="7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911.8</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w:t>
            </w:r>
          </w:p>
        </w:tc>
      </w:tr>
      <w:tr>
        <w:trPr>
          <w:trHeight w:val="27"/>
        </w:trPr>
        <w:tc>
          <w:tcPr>
            <w:tcW w:w="44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based on the maturity dates defined within the company's debt arrangements, for the succeeding fiscal years is as follows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Succeeding fiscal year</w:t>
            </w:r>
          </w:p>
        </w:tc>
        <w:tc>
          <w:tcPr>
            <w:tcW w:w="5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0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7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9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19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r>
      <w:tr>
        <w:trPr>
          <w:trHeight w:val="221"/>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payments</w:t>
            </w:r>
          </w:p>
        </w:tc>
        <w:tc>
          <w:tcPr>
            <w:tcW w:w="47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 2024, the company entered into the second amended and restated credit agreement ("2024 Credit Agreement") that provided for, among other things, a five-year unsecured revolving credit facility with a borrowing capacity of up to $900.0 million ("revolving credit facility") that matures on October 2, 2029 and replaced the company's prior $600.0 million unsecured senior revolving credit facility ("prior revolving credit facility") scheduled to mature on October 5, 2026. Included in the revolving credit facility is a $10.0 million sublimit for standby letters of credit and a $75.0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$450.0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2024 Credit Agreement. As of October 31, 2024, the company had no outstanding borrowings under the revolving credit facility and $2.7 million outstanding under the sublimit for standby letters of credit, resulting in $897.3 million of unutilized availability under the revolving credit facility. As of October 31, 2023, the company had $40.0 million outstanding borrowings under the prior revolving credit facility and $2.6 million outstanding under the sublimit for standby letters of credit, resulting in $557.4 million of unutilized availability under the prior revolving credit facility.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SOFR or an alternative variable rate based on the highest of the Bank of America prime rate, the federal funds rate or a rate generally based on SOFR, in each case subject to an additional basis point spread as defined in the 2024 Credit Agreement. Swingline loans under the revolving credit facility bear interest at a rate determined by the swingline lender or an alternative variable rate based on the highest of the Bank of America prime rate, the federal funds rate or a rate generally based on SOFR, in each case subject to an additional basis point spread as defined in the 2024 Credit Agreement. Interest is payable quarterly in arrears. The interest rate on outstanding borrowings as of October 31, 2024 was 5.85%. During fiscal 2024, 2023 and 2022, the company incurred interest expense of $5.4 million, $5.7 million and $2.4 million, respectively, on the outstanding borrowings under the current and prior revolving credit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Maturing October 2029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credit agreement also provided for a five-year unsecured term loan in an aggregate principal amount of $200.0 million, the entire amount of which was funded on October 2, 2024 and matures on October 2, 2029 ("2024 Term Loan"). Under the 2024 Credit Agreement, incremental term loan commitments may be established at the company's election and the approval of the lenders on the 2024 Term Loan by an amount of up to $100.0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December 31, 2027, the company is required to make $5.0 million quarterly principal repayments on the 2024 Term Loan, reduced by applicable prepayments. On October 2, 2029, the aggregate principal amount of any remaining outstanding borrowings under the 2024 Term Loan is required to be repaid. The 2024 Term Loan may be prepaid and terminated at the company's election at any time without penalty or premium. Amounts repaid or prepaid may not be reborrowed. As of October 31, 2024, there was $200.0 million of outstanding borrowings under the 2024 Term Loan.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2024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2024 Credit Agreement. Interest is payable quarterly in arrears. The interest rate on outstanding borrowings as of October 31, 2024 was 5.79%. For the fiscal years ended October 31, 2024, 2023, and 2022, the company incurred interest expense of $17.0 million, $15.9 million and $5.7 million, respectively, on the outstanding borrowings under the 2024 Term Loan.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Maturing April 2027</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27, 2022, the company entered into a term loan credit agreement ("2022 Credit Agreement") with certain financial institutions which provided for a five-year unsecured term loan in an aggregate principal amount of $200.0 million, the entire amount of which was funded on April 27, 2022, and matures on April 27, 2027 ("2022 Term Loan"). On September 22, 2023, the company amended the 2022 Credit Agreement to permit non-cash charges in its “Consolidated EBIT” calculation among other administrative amendments.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with the last business day of June 2025, the company is required to make quarterly amortization payments on the 2022 Term Loan equal to 2.5% of the original aggregate principal amount reduced by any applicable prepayments. The 2022 Term Loan may be prepaid and terminated at the company's election at any time without penalty or premium. Amounts repaid or prepaid may not be reborrowed. As of October 31, 2024, there was $200.0 million of outstanding borrowings under the 2022 Term Loan.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2022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2022 Credit Agreement. Interest is payable quarterly in arrears. The interest rate on outstanding borrowings as of October 31, 2024 was 5.66%. For the fiscal years ended October 31, 2024, 2023, and 2022, the company incurred interest expense of $12.8 million, $11.7 million, and $3.1 million, respectively, on the outstanding borrowings under the 2022 Term Loan.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3.81% Series A and 3.91% Series B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principal is due on the Senior Notes prior to their stated due dates. The company has the right to prepay all or a portion of either series of the Senior Notes in amounts not less than 10% of the then outstanding principal amount of the series of Senior Notes being prepaid upon notice to the holders of such series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 of the principal amount so prepaid, plus accrued and unpaid interest, if any, to the date of prepayment. Upon the occurrence of certain change of control events, the company is required to offer to prepay all Senior Notes for 100% of the principal amount thereof plus accrued and unpaid interest, if any, to the date of prepayment.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For each of the fiscal years ended October 31, 2024, 2023, and 2022, the company incurred interest expense of $7.7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3.97% Senior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company issued $100.0 million of 3.97% Senior Notes due June 30, 2032 ("3.97% Senior Notes") pursuant to a private placement note purchase agreement ("2022 Note Purchase Agreement") with certain purchasers. The 3.97% Senior Notes are unsecured senior obligations of the company and mature on June 30, 2032.</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to prepay all or a portion of the 3.97% Senior Notes in an amount not less than 10% of the then outstanding principal amount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for 100% of the principal amount prepaid, plus accrued and unpaid interest, if any, to the date of prepayment. Upon the occurrence of certain change of control events, the company is required to offer to prepay all of the 3.97% Senior Notes for 100% of the principal amount thereof plus accrued and unpaid interest, if any, to the date of prepayment.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3.97% Senior Notes is payable semiannually on the 30th day of June and December in each year. For the fiscal years ended October 31, 2024, 2023, and 2022, the company incurred interest expense of $4.0 million, $4.0 million, and $1.3 million, respectively, on the outstanding borrowings under the 3.97% Senior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Debentures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coupon 10-year notes which were repaid at maturity during fiscal 2007, and $100.0 million of 7.8% coupon 30-year debentures due June 15, 2027.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debentures is payable semiannually on the 15th day of June and December in each year. For each of the fiscal years ended October 31, 2024, 2023, and 2022, the company incurred interest expense of $8.0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6.625% Senior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senior notes due May 1, 2037 and priced at 98.513%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the effective interest rate is 6.741% after taking into account the issuance discount. The senior notes are unsecured senior obligations of the company and rank equally with the company's other unsecured and unsubordinated indebtedness.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1st day of May and November in each year. For each of the fiscal years ended October 31, 2024, 2023, and 2022, the company incurred interest expense of $8.4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customary representations and warranties of the company, event of default provisions, as well as certain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 minimum thresholds and exceptions. The company was in compliance with all covenants under they company's outstanding indebtedness as of October 31, 2024.</w:t>
      </w:r>
    </w:p>
    <w:p>
      <w:pPr>
        <w:spacing w:after="0" w:line="105" w:lineRule="exact"/>
        <w:rPr>
          <w:sz w:val="20"/>
          <w:szCs w:val="20"/>
          <w:color w:val="auto"/>
        </w:rPr>
      </w:pPr>
    </w:p>
    <w:p>
      <w:pPr>
        <w:ind w:left="620" w:hanging="594"/>
        <w:spacing w:after="0"/>
        <w:tabs>
          <w:tab w:leader="none" w:pos="620" w:val="left"/>
        </w:tabs>
        <w:numPr>
          <w:ilvl w:val="0"/>
          <w:numId w:val="4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Investment in Joint Venture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is party to a joint venture with HDF, established as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$1,350.0 million secured revolving credit facility established under a credit agreement between Red Iron and HDF. The company's total investment in Red Iron as of October 31, 2024 and 2023 was $49.2 million and $50.6 million, respectively. The company has not guaranteed the outstanding indebtedness of Red Iron.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60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8</w:t>
            </w:r>
          </w:p>
        </w:tc>
        <w:tc>
          <w:tcPr>
            <w:tcW w:w="45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 were as follows (dollars in millions):</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5180" w:type="dxa"/>
            <w:vAlign w:val="bottom"/>
            <w:tcBorders>
              <w:bottom w:val="single" w:sz="8" w:color="auto"/>
            </w:tcBorders>
            <w:gridSpan w:val="2"/>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90"/>
        </w:trPr>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180" w:type="dxa"/>
            <w:vAlign w:val="bottom"/>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436.6</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345.0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r>
      <w:tr>
        <w:trPr>
          <w:trHeight w:val="203"/>
        </w:trPr>
        <w:tc>
          <w:tcPr>
            <w:tcW w:w="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458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96"/>
        </w:trPr>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21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512.8</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400.5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27"/>
        </w:trPr>
        <w:tc>
          <w:tcPr>
            <w:tcW w:w="6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763"/>
        </w:trPr>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80" w:type="dxa"/>
            <w:vAlign w:val="bottom"/>
          </w:tcPr>
          <w:p>
            <w:pPr>
              <w:jc w:val="right"/>
              <w:ind w:right="1562"/>
              <w:spacing w:after="0"/>
              <w:rPr>
                <w:sz w:val="20"/>
                <w:szCs w:val="20"/>
                <w:color w:val="auto"/>
              </w:rPr>
            </w:pPr>
            <w:r>
              <w:rPr>
                <w:rFonts w:ascii="Times New Roman" w:cs="Times New Roman" w:eastAsia="Times New Roman" w:hAnsi="Times New Roman"/>
                <w:sz w:val="18"/>
                <w:szCs w:val="18"/>
                <w:color w:val="auto"/>
              </w:rPr>
              <w:t>81</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6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tax rate is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rate</w:t>
            </w:r>
          </w:p>
        </w:tc>
        <w:tc>
          <w:tcPr>
            <w:tcW w:w="25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21.0 %</w:t>
            </w:r>
          </w:p>
        </w:tc>
        <w:tc>
          <w:tcPr>
            <w:tcW w:w="8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21.0 %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Excess deduction for stock-based compensation</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(0.6)</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and local income taxes, net of federal benefit</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1.8</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operations</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(1.2)</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(0.7)</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research tax credit</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(1.9)</w:t>
            </w:r>
          </w:p>
        </w:tc>
        <w:tc>
          <w:tcPr>
            <w:tcW w:w="8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(2.3)</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2500" w:type="dxa"/>
            <w:vAlign w:val="bottom"/>
          </w:tcPr>
          <w:p>
            <w:pPr>
              <w:spacing w:after="0"/>
              <w:rPr>
                <w:sz w:val="16"/>
                <w:szCs w:val="16"/>
                <w:color w:val="auto"/>
              </w:rPr>
            </w:pPr>
          </w:p>
        </w:tc>
        <w:tc>
          <w:tcPr>
            <w:tcW w:w="152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(0.9)</w:t>
            </w: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r>
      <w:tr>
        <w:trPr>
          <w:trHeight w:val="203"/>
        </w:trPr>
        <w:tc>
          <w:tcPr>
            <w:tcW w:w="5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5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(0.3)</w:t>
            </w:r>
          </w:p>
        </w:tc>
        <w:tc>
          <w:tcPr>
            <w:tcW w:w="82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0.1</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18.3 %</w:t>
            </w: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17.7 %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19.8 %</w:t>
            </w:r>
          </w:p>
        </w:tc>
      </w:tr>
      <w:tr>
        <w:trPr>
          <w:trHeight w:val="27"/>
        </w:trPr>
        <w:tc>
          <w:tcPr>
            <w:tcW w:w="5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provision for income taxes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94.9</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94.4</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96"/>
        </w:trPr>
        <w:tc>
          <w:tcPr>
            <w:tcW w:w="4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6"/>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provision</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121.8</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118.7</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r>
      <w:tr>
        <w:trPr>
          <w:trHeight w:val="19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(benefit) provision:</w:t>
            </w:r>
          </w:p>
        </w:tc>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5"/>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28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deferred benefit</w:t>
            </w:r>
          </w:p>
        </w:tc>
        <w:tc>
          <w:tcPr>
            <w:tcW w:w="2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21"/>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8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93.9</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income tax assets and liabilities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experimentation</w:t>
            </w:r>
          </w:p>
        </w:tc>
        <w:tc>
          <w:tcPr>
            <w:tcW w:w="3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Warranty and insurance</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sales promotions and incentives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losses and other carryforwards</w:t>
            </w:r>
          </w:p>
        </w:tc>
        <w:tc>
          <w:tcPr>
            <w:tcW w:w="30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3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195"/>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3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95"/>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0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(55.1)</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0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30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r>
      <w:tr>
        <w:trPr>
          <w:trHeight w:val="221"/>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3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80" w:hanging="172"/>
        <w:spacing w:after="0" w:line="230" w:lineRule="auto"/>
        <w:tabs>
          <w:tab w:leader="none" w:pos="172"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Presentation of fiscal 2023 deferred income taxes has been conformed to the current year presentation. There was no change to total deferred income tax assets, deferred income tax liabilities, or deferred income tax liabilities, net.</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2024, the company has domestic net operating loss carryforwards of $2.2 million for federal income tax purposes, and $3.1 million state income tax purposes, that do not expire and $0.4 million for state income tax purposes that expire between fiscal 2038 and fiscal 2044. As of October 31, 2024, the company has net operating loss carryforwards of approximately $6.9 million in foreign jurisdictions, which are comprised of $6.7 million that do not expire and $0.2 million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expires between fiscal 2035 and fiscal 2041. The company also has domestic credit carryforwards of $2.3 million that expire between fiscal 2027 and fiscal 2043.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 in the total valuation allowance between the fiscal years ended October 31, 2024 and 2023 was an increase of $1.8 million. The change in valuation allowance is related to capital loss carryforwards, domestic tax credits, and foreign net operating losses that are expected to expire prior to utilization.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that $25.9 million of the total undistributed earnings of its foreign operations will be indefinitely reinvested. Should these earnings be distributed in the future in the form of dividends or otherwise, the company may be subject to foreign withholding taxes, state income taxes, and/or additional federal taxes for currency fluctuations. As of October 31, 2024, the unrecognized deferred tax liabilities for temporary differences related to the company’s investment in non-U.S. subsidiaries, and any withholding, state, or additional federal taxes that may be applied upon any future repatriation, are expected to be immaterial.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2023</w:t>
            </w:r>
          </w:p>
        </w:tc>
        <w:tc>
          <w:tcPr>
            <w:tcW w:w="3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3.7</w:t>
            </w: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during the current period</w:t>
            </w:r>
          </w:p>
        </w:tc>
        <w:tc>
          <w:tcPr>
            <w:tcW w:w="35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Reductions as a result of statute of limitations lapses</w:t>
            </w:r>
          </w:p>
        </w:tc>
        <w:tc>
          <w:tcPr>
            <w:tcW w:w="3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(0.6)</w:t>
            </w:r>
          </w:p>
        </w:tc>
      </w:tr>
      <w:tr>
        <w:trPr>
          <w:trHeight w:val="221"/>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October 31, 2024</w:t>
            </w:r>
          </w:p>
        </w:tc>
        <w:tc>
          <w:tcPr>
            <w:tcW w:w="3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provision for income taxes within the Consolidated Statements of Earnings. In addition to the unrecognized tax benefits of $3.5 million, which have been recorded as an other accrued liability within the Consolidated Balance Sheets as of October 31, 2024, the company recorded $1.1 million of accrued interest and penalties as an other accrued liability within the Consolidated Balance Sheets as of October 31, 2024. Included in the balance of unrecognized tax benefits as of October 31, 2024 are potential benefits of $3.7 million that, if recognized, would affect the effective tax rate.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2020. The Internal Revenue Service has commenced an audit of fiscal 2022, with no material adjustments to tax expense or unrecognized tax benefits expected. The company is under audit in certain state jurisdictions and expects various statutes of limitation to expire during the next 12 months. Due to the uncertainty related to the response of taxing authorities, a range of outcomes cannot be reasonably estimated at this time.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issued the Pillar Two Model Rules Framework (the "Framework"), which establishes global minimum tax rules with a minimum tax rate of 15%. The OECD continues to release additional guidance on these rules. Although it is uncertain whether the United States will enact legislation to adopt the minimum tax directive, certain countries where the company operates have adopted legislation effective for fiscal years beginning on or after January 1, 2024, and other countries are in the process of introducing such legislation. The company does not expect the Framework to have a material impact on its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hanging="594"/>
        <w:spacing w:after="0"/>
        <w:tabs>
          <w:tab w:leader="none" w:pos="620" w:val="left"/>
        </w:tabs>
        <w:numPr>
          <w:ilvl w:val="0"/>
          <w:numId w:val="4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with respect to future grants of awards. The 2022 Plan is administered by the Compensation and Human Resources Committee of the Board of Directors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 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 The number of unissued shares of common stock available for future stock-based compensation award grants under the 2022 Plan was 2,399,205 as of October 31, 2024. All outstanding stock-based compensation awards were granted under the 2010 Plan or the 2022 Plan. Shares of common stock issued upon the exercise, vesting, or settlement of stock options, restricted stock units, and performance shares are issued from treasury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related to stock-based compensation awards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26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awards</w:t>
            </w:r>
          </w:p>
        </w:tc>
        <w:tc>
          <w:tcPr>
            <w:tcW w:w="26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Unrestricted common stock awards</w:t>
            </w: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21"/>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for stock-based compensation awards</w:t>
            </w:r>
          </w:p>
        </w:tc>
        <w:tc>
          <w:tcPr>
            <w:tcW w:w="26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98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Related tax benefit from stock-based compensation awards</w:t>
            </w:r>
          </w:p>
        </w:tc>
        <w:tc>
          <w:tcPr>
            <w:tcW w:w="26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9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the company's common stock on the date of grant, as reported by the New York Stock Exchange and are generally granted to executive officers, other employees, and 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or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applicable equity and incentive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used under the Black-Scholes valuation method for options granted in the following fiscal periods: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2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26.76 %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23.74 %</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3.95 %</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1.15 %</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r>
      <w:tr>
        <w:trPr>
          <w:trHeight w:val="203"/>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weighted-average fair value at date of grant</w:t>
            </w:r>
          </w:p>
        </w:tc>
        <w:tc>
          <w:tcPr>
            <w:tcW w:w="21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30.39</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33.21</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22.55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stock option activity for fiscal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Aggregate Intrinsic</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3140" w:type="dxa"/>
            <w:vAlign w:val="bottom"/>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Stock Option Awards</w:t>
            </w: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Contractual Life</w:t>
            </w:r>
          </w:p>
        </w:tc>
        <w:tc>
          <w:tcPr>
            <w:tcW w:w="160" w:type="dxa"/>
            <w:vAlign w:val="bottom"/>
          </w:tcPr>
          <w:p>
            <w:pPr>
              <w:spacing w:after="0"/>
              <w:rPr>
                <w:sz w:val="11"/>
                <w:szCs w:val="11"/>
                <w:color w:val="auto"/>
              </w:rPr>
            </w:pPr>
          </w:p>
        </w:tc>
        <w:tc>
          <w:tcPr>
            <w:tcW w:w="122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rPr>
              <w:t>Value (dollars in</w:t>
            </w:r>
          </w:p>
        </w:tc>
        <w:tc>
          <w:tcPr>
            <w:tcW w:w="0" w:type="dxa"/>
            <w:vAlign w:val="bottom"/>
          </w:tcPr>
          <w:p>
            <w:pPr>
              <w:spacing w:after="0"/>
              <w:rPr>
                <w:sz w:val="1"/>
                <w:szCs w:val="1"/>
                <w:color w:val="auto"/>
              </w:rPr>
            </w:pPr>
          </w:p>
        </w:tc>
      </w:tr>
      <w:tr>
        <w:trPr>
          <w:trHeight w:val="184"/>
        </w:trPr>
        <w:tc>
          <w:tcPr>
            <w:tcW w:w="38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2023</w:t>
            </w:r>
          </w:p>
        </w:tc>
        <w:tc>
          <w:tcPr>
            <w:tcW w:w="3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2,973,430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78.80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442,665</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98.76</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3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(267,815)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52.44</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(27,914)</w:t>
            </w: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101.04</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2024</w:t>
            </w:r>
          </w:p>
        </w:tc>
        <w:tc>
          <w:tcPr>
            <w:tcW w:w="3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3,120,366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83.69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as of October 31, 2024</w:t>
            </w:r>
          </w:p>
        </w:tc>
        <w:tc>
          <w:tcPr>
            <w:tcW w:w="3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2,257,752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76.45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2024, there was $5.8 million of total unrecognized compensation cost related to unvested stock options that is expected to be recognized over a weighted-average period of 1.90 years.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market value of stock options exercised and the total intrinsic value of options exercised during the following fiscal years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stock options exercised</w:t>
            </w:r>
          </w:p>
        </w:tc>
        <w:tc>
          <w:tcPr>
            <w:tcW w:w="32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3"/>
        </w:trPr>
        <w:tc>
          <w:tcPr>
            <w:tcW w:w="476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Intrinsic value of stock options exercised</w:t>
            </w:r>
            <w:r>
              <w:rPr>
                <w:rFonts w:ascii="Times New Roman" w:cs="Times New Roman" w:eastAsia="Times New Roman" w:hAnsi="Times New Roman"/>
                <w:sz w:val="18"/>
                <w:szCs w:val="18"/>
                <w:color w:val="auto"/>
                <w:vertAlign w:val="superscript"/>
              </w:rPr>
              <w:t>1</w:t>
            </w:r>
          </w:p>
        </w:tc>
        <w:tc>
          <w:tcPr>
            <w:tcW w:w="32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r>
    </w:tbl>
    <w:p>
      <w:pPr>
        <w:spacing w:after="0" w:line="166"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Intrinsic value is calculated as the amount by which the stock price at exercise date exceeded the option exercise price.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grants performance share awards on an annual basis in the first quarter of the company's fiscal year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performance share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80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99.60</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112.14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performance share awards vested</w:t>
            </w:r>
          </w:p>
        </w:tc>
        <w:tc>
          <w:tcPr>
            <w:tcW w:w="28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2024 activity for unvested performance share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Borders>
              <w:top w:val="single" w:sz="8" w:color="auto"/>
            </w:tcBorders>
          </w:tcPr>
          <w:p>
            <w:pPr>
              <w:spacing w:after="0"/>
              <w:rPr>
                <w:sz w:val="13"/>
                <w:szCs w:val="13"/>
                <w:color w:val="auto"/>
              </w:rPr>
            </w:pPr>
          </w:p>
        </w:tc>
        <w:tc>
          <w:tcPr>
            <w:tcW w:w="4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4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Performance Shares</w:t>
            </w:r>
          </w:p>
        </w:tc>
        <w:tc>
          <w:tcPr>
            <w:tcW w:w="138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at Date of</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2023</w:t>
            </w:r>
          </w:p>
        </w:tc>
        <w:tc>
          <w:tcPr>
            <w:tcW w:w="4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186,760</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100.57</w:t>
            </w:r>
          </w:p>
        </w:tc>
        <w:tc>
          <w:tcPr>
            <w:tcW w:w="0" w:type="dxa"/>
            <w:vAlign w:val="bottom"/>
          </w:tcPr>
          <w:p>
            <w:pPr>
              <w:spacing w:after="0"/>
              <w:rPr>
                <w:sz w:val="1"/>
                <w:szCs w:val="1"/>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108,636</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(85,324)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(3,400)</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103.72</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2024</w:t>
            </w:r>
          </w:p>
        </w:tc>
        <w:tc>
          <w:tcPr>
            <w:tcW w:w="4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206,672</w:t>
            </w:r>
          </w:p>
        </w:tc>
        <w:tc>
          <w:tcPr>
            <w:tcW w:w="1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2024, there was $0.5 million of total unrecognized compensation cost related to unvested performance share awards that is expected to be recognized over a weighted-average period of 1.00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unit awards are generally granted on an annual basis to certain employees that are not executive officers and occasionally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related to the company's restricted stock unit awards are as follows (dollars in millions, except per award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award at date of grant</w:t>
            </w:r>
          </w:p>
        </w:tc>
        <w:tc>
          <w:tcPr>
            <w:tcW w:w="280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96.58</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103.40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w:t>
            </w:r>
          </w:p>
        </w:tc>
      </w:tr>
      <w:tr>
        <w:trPr>
          <w:trHeight w:val="19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restricted stock units vested</w:t>
            </w:r>
          </w:p>
        </w:tc>
        <w:tc>
          <w:tcPr>
            <w:tcW w:w="28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fiscal 2024 activity for unvested restricted stock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8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 Date</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2023</w:t>
            </w:r>
          </w:p>
        </w:tc>
        <w:tc>
          <w:tcPr>
            <w:tcW w:w="4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179,826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100,758</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(79,744)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(9,672)</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98.23</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2024</w:t>
            </w:r>
          </w:p>
        </w:tc>
        <w:tc>
          <w:tcPr>
            <w:tcW w:w="4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191,168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4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2024, there was $9.7 million of total unrecognized compensation cost related to unvested restricted stock units that is expected to be recognized over a weighted-average period of 2.11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Unrestricted Common Stock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2023, and 2022, 7,544, 10,329, and 6,453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deferred compensation plan that allows executive officers and certain other employees that receive performance share awards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 treated in a manner similar to treasury shares and are recorded at cost within stockholders' equity in the Consolidated Balance Sheets as of October 31, 2024 and 2023. The total of common stock required to settle this deferred compensation obligation is included in the denominator of the calculation of both basic and diluted net earnings per share of common stock.</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Stockholders' Equity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2024 and 2023, the company paid $245.5 million and $60.0 million to repurchase 2,777,534 and 577,115 shares under the share repurchase program, respectively. As of October 31, 2024, 8,171,957 shares remain available for repurchase.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Treasury shares generally consist of shares of the company's common stock repurchased under the share repurchase program. The company values treasury shares on an average cost basis. As of October 31, 2024, the company had a total of 26,319,681 treasury shares at a total average cost of $1,968.9 million. As of October 31, 2023, the company had a total of 23,888,294 treasury shares at a total average cost of $1,743.6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AOCL, net of tax, within the Consolidated Statements of Stockholders' Equity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3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3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derivative instruments</w:t>
            </w:r>
          </w:p>
        </w:tc>
        <w:tc>
          <w:tcPr>
            <w:tcW w:w="3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3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net of tax,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0" w:type="dxa"/>
            <w:vAlign w:val="bottom"/>
          </w:tcPr>
          <w:p>
            <w:pPr>
              <w:spacing w:after="0"/>
              <w:rPr>
                <w:sz w:val="12"/>
                <w:szCs w:val="12"/>
                <w:color w:val="auto"/>
              </w:rPr>
            </w:pPr>
          </w:p>
        </w:tc>
        <w:tc>
          <w:tcPr>
            <w:tcW w:w="1200" w:type="dxa"/>
            <w:vAlign w:val="bottom"/>
          </w:tcPr>
          <w:p>
            <w:pPr>
              <w:jc w:val="center"/>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0" w:type="dxa"/>
            <w:vAlign w:val="bottom"/>
          </w:tcPr>
          <w:p>
            <w:pPr>
              <w:spacing w:after="0"/>
              <w:rPr>
                <w:sz w:val="12"/>
                <w:szCs w:val="12"/>
                <w:color w:val="auto"/>
              </w:rPr>
            </w:pPr>
          </w:p>
        </w:tc>
        <w:tc>
          <w:tcPr>
            <w:tcW w:w="1200" w:type="dxa"/>
            <w:vAlign w:val="bottom"/>
          </w:tcPr>
          <w:p>
            <w:pPr>
              <w:jc w:val="center"/>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AOCL</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in net earnings for derivative instruments refer to Note 13,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inventory financing arrangements with Red Iron,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SOFR, or an alternative variable rate, plus a fixed percentage that differs based on whether the financing is for a distributor or dealer. Rates may also vary based on the product that is financed.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this arrangement with Red Iron during fiscal 2024, 2023, and 2022 was $2,613.3 million, $2,789.5 million, and $2,627.5 million, respectively. The total amount of net receivables outstanding under this arrangement with Red Iron as of October 31, 2024 and 2023 was $979.6 million and $1,019.0 million, respectively. The total amount of receivables due from Red Iron to the company as of October 31, 2024 and 2023 were $26.0 million and $34.4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2024, 2023, and 2022 was $612.1 million, $545.4 million, and $633.5 million, respectively. As of October 31, 2024 and 2023, $272.2 million and $234.7 million, respectively, of receivables financed by HCFC and the other third-party financial institutions were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inventory repurchase agreements with the other third-party financial institutions under which the company has agreed to repurchase certain repossessed products. Under these agreements, for the fiscal years ended October 31, 2024 and 2023, the company was contingently liable to repurchase up to $29.5 million and $32.2 million of repossessed inventory, respectively.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2024, 2023, and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 agreements where it provides recourse to third-party finance companies in the event of default by the end-customer for financing payments to the third-party finance company. The company's maximum exposure for credit collection for the fiscal years ended October 31, 2024 and 2023 was $2.9 million and $5.2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October 31, 2024, the company had $22.3 million of noncancelable purchase commitments with certain of the company's suppliers for commodities as part of the normal course of business. Additionally, associated with the Tornado asset acquisition described in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the company has entered into a minimum purchase arrangement for a total of approximately $32.0 million of inventory through fiscal 2025. As of October 31, 2024, the company did not have material noncancelable purchase commitments related to capital expenditures for renovation and expansion efforts at the company's facilities and other property, plant and equipment.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Leases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adjusted for prepaid or accrued lease payments, the remaining balance of any lease incentives received, unamortized initial direct costs, and impairment of the operating lease right-of-use asset, as applicable.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29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29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29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2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29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7"/>
        </w:trPr>
        <w:tc>
          <w:tcPr>
            <w:tcW w:w="4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2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206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6"/>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Operating cash flows for amounts included in the measurement of lease liabilities</w:t>
            </w:r>
          </w:p>
        </w:tc>
        <w:tc>
          <w:tcPr>
            <w:tcW w:w="20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10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lease information related to the company's operating leases as of October 31, 2024 and October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4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of operating leases in years</w:t>
            </w:r>
          </w:p>
        </w:tc>
        <w:tc>
          <w:tcPr>
            <w:tcW w:w="3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6"/>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of operating leases</w:t>
            </w:r>
          </w:p>
        </w:tc>
        <w:tc>
          <w:tcPr>
            <w:tcW w:w="3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5.00 %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2024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9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6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6"/>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operating lease payments</w:t>
            </w:r>
          </w:p>
        </w:tc>
        <w:tc>
          <w:tcPr>
            <w:tcW w:w="3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3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21"/>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Derivative</w:t>
      </w:r>
      <w:r>
        <w:rPr>
          <w:rFonts w:ascii="Times New Roman" w:cs="Times New Roman" w:eastAsia="Times New Roman" w:hAnsi="Times New Roman"/>
          <w:sz w:val="43"/>
          <w:szCs w:val="43"/>
          <w:b w:val="1"/>
          <w:bCs w:val="1"/>
          <w:color w:val="auto"/>
          <w:vertAlign w:val="subscript"/>
        </w:rPr>
        <w:t>Activities</w:t>
      </w:r>
      <w:r>
        <w:rPr>
          <w:rFonts w:ascii="Times New Roman" w:cs="Times New Roman" w:eastAsia="Times New Roman" w:hAnsi="Times New Roman"/>
          <w:sz w:val="43"/>
          <w:szCs w:val="43"/>
          <w:b w:val="1"/>
          <w:bCs w:val="1"/>
          <w:color w:val="auto"/>
        </w:rPr>
        <w:t xml:space="preserve"> </w:t>
      </w:r>
      <w:r>
        <w:rPr>
          <w:rFonts w:ascii="Times New Roman" w:cs="Times New Roman" w:eastAsia="Times New Roman" w:hAnsi="Times New Roman"/>
          <w:sz w:val="19"/>
          <w:szCs w:val="19"/>
          <w:b w:val="1"/>
          <w:bCs w:val="1"/>
          <w:color w:val="auto"/>
        </w:rPr>
        <w:t>Instruments and Hedging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projected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Hedging Instruments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projected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projected trade sales and purchases is two years.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projected transaction affects net earnings. When the company discontinues cash flow hedge accounting because it is no longer probable, but it is still reasonably possible that the projected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projected transaction affects net earnings. However, if it is probable that a projected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2024, the notional amount outstanding of forward currency contracts designated as cash flow hedging instruments was $345.4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Hedging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Consolidated Balance Sheets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2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not designated as cash flow hedging instruments:</w:t>
            </w:r>
          </w:p>
        </w:tc>
        <w:tc>
          <w:tcPr>
            <w:tcW w:w="2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6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Consolidated Balance Sheets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30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3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amount of derivative assets</w:t>
            </w:r>
          </w:p>
        </w:tc>
        <w:tc>
          <w:tcPr>
            <w:tcW w:w="3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6"/>
        </w:trPr>
        <w:tc>
          <w:tcPr>
            <w:tcW w:w="5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Derivative liabilities offsetting derivative assets</w:t>
            </w:r>
          </w:p>
        </w:tc>
        <w:tc>
          <w:tcPr>
            <w:tcW w:w="3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of derivative assets</w:t>
            </w:r>
          </w:p>
        </w:tc>
        <w:tc>
          <w:tcPr>
            <w:tcW w:w="30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3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3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amount of derivative liabilities</w:t>
            </w:r>
          </w:p>
        </w:tc>
        <w:tc>
          <w:tcPr>
            <w:tcW w:w="3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 offsetting derivative liabilities</w:t>
            </w:r>
          </w:p>
        </w:tc>
        <w:tc>
          <w:tcPr>
            <w:tcW w:w="30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amount of derivative liabilities</w:t>
            </w:r>
          </w:p>
        </w:tc>
        <w:tc>
          <w:tcPr>
            <w:tcW w:w="3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(dollars in millions):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640" w:type="dxa"/>
            <w:vAlign w:val="bottom"/>
          </w:tcPr>
          <w:p>
            <w:pPr>
              <w:spacing w:after="0"/>
              <w:rPr>
                <w:sz w:val="13"/>
                <w:szCs w:val="13"/>
                <w:color w:val="auto"/>
              </w:rPr>
            </w:pPr>
          </w:p>
        </w:tc>
        <w:tc>
          <w:tcPr>
            <w:tcW w:w="274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Gain Reclassified from AOCL into Income</w:t>
            </w:r>
          </w:p>
        </w:tc>
        <w:tc>
          <w:tcPr>
            <w:tcW w:w="100" w:type="dxa"/>
            <w:vAlign w:val="bottom"/>
            <w:vMerge w:val="restart"/>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3"/>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(Loss) Gain Recognized in OCI on</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 designated as cash flow hedging instruments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46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and 2023, the company recognized immaterial gains and losses, respectively, within other income, net on the Consolidated Statement of Earnings due to the discontinuance of cash flow hedge accounting on certain forward currency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designated as cash flow hedging instruments. As of October 31, 2024, the company expects to reclassify approximately $4.7 million of losses from AOCL to earnings during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(dollars in millions):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27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Gain Recognized in Earnings on Cash Flow</w:t>
            </w:r>
          </w:p>
        </w:tc>
      </w:tr>
      <w:tr>
        <w:trPr>
          <w:trHeight w:val="196"/>
        </w:trPr>
        <w:tc>
          <w:tcPr>
            <w:tcW w:w="8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2024</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Statements of Earnings income (expense) amounts in which the effects of cash flow hedging instruments are recorded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4,583.8</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(3,034.5)</w:t>
            </w: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Gain on derivatives designated as cash flow hedging instruments: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 of gain reclassified from AOCL into earnings</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3"/>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components excluded from effectiveness testing recognized in earnings based on changes in fair value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460" w:type="dxa"/>
            <w:vAlign w:val="bottom"/>
          </w:tcPr>
          <w:p>
            <w:pPr>
              <w:spacing w:after="0"/>
              <w:rPr>
                <w:sz w:val="12"/>
                <w:szCs w:val="12"/>
                <w:color w:val="auto"/>
              </w:rPr>
            </w:pPr>
          </w:p>
        </w:tc>
        <w:tc>
          <w:tcPr>
            <w:tcW w:w="27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Gain Recognized in Earnings on Cash Flow</w:t>
            </w:r>
          </w:p>
        </w:tc>
      </w:tr>
      <w:tr>
        <w:trPr>
          <w:trHeight w:val="196"/>
        </w:trPr>
        <w:tc>
          <w:tcPr>
            <w:tcW w:w="8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Hedging Instruments</w:t>
            </w:r>
          </w:p>
        </w:tc>
      </w:tr>
      <w:tr>
        <w:trPr>
          <w:trHeight w:val="196"/>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2023</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Statements of Earnings income (expense) amounts in which the effects of cash flow hedging instruments are recorded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4,553.2</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(2,975.6)</w:t>
            </w: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Gain on derivatives designated as cash flow hedging instruments: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 of gain reclassified from AOCL into earnings</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3"/>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components excluded from effectiveness testing recognized in earnings based on changes in fair value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Consolidated Statements of Earnings for the company’s derivatives not designated as cash flow hedging instruments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Loss on derivative instruments not designated as cash flow hedging instruments:</w:t>
            </w:r>
          </w:p>
        </w:tc>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 net</w:t>
            </w:r>
          </w:p>
        </w:tc>
        <w:tc>
          <w:tcPr>
            <w:tcW w:w="28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6"/>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loss on derivatives not designated as cash flow hedging instruments</w:t>
            </w:r>
          </w:p>
        </w:tc>
        <w:tc>
          <w:tcPr>
            <w:tcW w:w="28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7"/>
        </w:trPr>
        <w:tc>
          <w:tcPr>
            <w:tcW w:w="65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Fair Value Measurements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w:t>
      </w:r>
    </w:p>
    <w:p>
      <w:pPr>
        <w:spacing w:after="0" w:line="117"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for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right="2220" w:firstLine="3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reflecting management's assumptions about the inputs used in pricing the asset or liability.</w:t>
      </w:r>
      <w:r>
        <w:rPr>
          <w:rFonts w:ascii="Times New Roman" w:cs="Times New Roman" w:eastAsia="Times New Roman" w:hAnsi="Times New Roman"/>
          <w:sz w:val="18"/>
          <w:szCs w:val="18"/>
          <w:b w:val="1"/>
          <w:bCs w:val="1"/>
          <w:color w:val="auto"/>
        </w:rPr>
        <w:t xml:space="preserve"> Recurring Fair Value Measurements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October 31, 2024 and 2023,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122555</wp:posOffset>
            </wp:positionV>
            <wp:extent cx="2631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37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154305</wp:posOffset>
            </wp:positionV>
            <wp:extent cx="2631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97"/>
              </w:rPr>
              <w:t>16.8</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7"/>
              </w:rPr>
              <w:t>16.8</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37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1,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and Related Data</w:t>
      </w:r>
      <w:r>
        <w:rPr>
          <w:rFonts w:ascii="Times New Roman" w:cs="Times New Roman" w:eastAsia="Times New Roman" w:hAnsi="Times New Roman"/>
          <w:sz w:val="18"/>
          <w:szCs w:val="18"/>
          <w:color w:val="auto"/>
        </w:rPr>
        <w:t xml:space="preserv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combinations and asset acquisitions and the related non-recurring fair value measurement of the assets acquired and liabilities assumed, refer to Note 2, </w:t>
      </w:r>
      <w:r>
        <w:rPr>
          <w:rFonts w:ascii="Times New Roman" w:cs="Times New Roman" w:eastAsia="Times New Roman" w:hAnsi="Times New Roman"/>
          <w:sz w:val="18"/>
          <w:szCs w:val="18"/>
          <w:i w:val="1"/>
          <w:iCs w:val="1"/>
          <w:color w:val="auto"/>
        </w:rPr>
        <w:t>Acquisitions and Divestitures.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October 31, 2024 and 2023, the company's long-term debt included $524.2 million and $524.2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2024, the estimated gross fair value of long-term debt with fixed interest rates was $520.4 million compared to its gross carrying amount of $524.2 million. As of October 31, 2023, the estimated gross fair value of long-term debt with fixed interest rates was $478.2 million compared to its gross carrying amount of $524.2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Employee Retirement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The Toro Company Retirement Plan for eligible employees. The company's expenses under this plan, which include costs related to matching contributions and discretionary retirement fund contributions, as applicable, were $32.0 million, $38.1 million, and $35.3 million for the fiscal years ended October 31, 2024, 2023, and 2022,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defined benefit pension plan covering certain employees in the United Kingdom ("defined benefit retirement plan"). The projected and accumulated benefit obligation of the defined benefit retirement plan was $19.6 million and $18.3 million as of October 31, 2024 and 2023, respectively. The fair value of the defined benefit retirement plan assets as of October 31, 2024 and 2023 was $20.7 million and $17.6 million, respectively. The net funded status of the defined benefit retirement plan was fully funded as of October 31, 2024 and was underfunded at $0.7 million as of October 31,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expense of $0.4 million and $0.2 million for the fiscal years ended October 31, 2024 and 2023, respectively, and recognized income of $0.2 million for the fiscal year ended October 31, 2022.</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omitted the remaining disclosures for the defined benefit retirement plan as the company deems this defined benefit retirement plan to be immaterial to its Consolidated Financial Statements.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Subsequent Events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to better align our organization structure with our long-term strategic priorities, the company eliminated approximately 300 salaried roles globally. Affected employees were provided severance and termination benefits. This action was immaterial to the company's Consolidated Financial Statements.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all additional subsequent events and concluded that no other subsequent events have occurred that would require recognition in the Consolidated Financial Statements or disclosure in the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company's Chairman of the Board, President and Chief Executive Officer and Vice President,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Chief Financial Officer, as appropriate to allow timely decisions regarding required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fourth quarter of fiscal 2024 that has materially affected, or is reasonably likely to materially affect, the company's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company’s fourth quarter ended October 31, 2024, none of its directors or “officers” (as defined in Rule 16a-1(f) under the Exchange Act) adopted or terminated a “Rule 10b5-1 trading arrangement” or “non-Rule 10b5-1 trading arrangement,” as each term is defined in Item 408(a) of SEC Regulation S-K.</w:t>
      </w:r>
    </w:p>
    <w:p>
      <w:pPr>
        <w:spacing w:after="0" w:line="64"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"Corporate Governance — Board Committees," and “Stock Ownership — Delinquent Section 16(a) Reports” in the company's proxy statement for its 2025 Annual Meeting of Shareholders to be filed with the SEC.</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fiscal 2024, the company did not make any material changes to the procedures by which shareholders may recommend nominees to the Board of Directors, as described in the company's proxy statement for its 2024 Annual Meeting of Shareholders. The company has a Code of Ethics for its CEO and Senior Financial Personnel, a copy of which is posted on the company's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"Director Compensation", "Compensation Discussion and Analysis" and "Executive Compensation" in the company's proxy statement for its 2025 Annual Meeting of Shareholders to be filed with the SEC.</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"Stock Ownership" and "Equity Compensation Plan Information" in the company's proxy statement for its 2025 Annual Meeting of Shareholders to be filed with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 "Corporate Governance — Director Independence," "Corporate Governance — Board Committees" and "Corporate Governance — Related Person Transactions and Policies and Procedures Regarding Related Person Transactions" in the company's proxy statement for its 2025 Annual Meeting of Shareholders to be filed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2025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Earnings for the fiscal years ended October 31, 2024, 2023, and 2022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October 31, 2024, 2023, and 2022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October 31,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October 31, 2024, 2023, and 2022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0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October 31, 2024, 2023, and 2022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10"/>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*KPMG LLP, Minneapolis, MN, PCAOB Firm ID No. 185.</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incorporated herein by reference or are filed or furnished with this Annual Report on Form 10-K as indicated below:</w:t>
      </w:r>
    </w:p>
    <w:p>
      <w:pPr>
        <w:spacing w:after="0" w:line="223" w:lineRule="exact"/>
        <w:rPr>
          <w:sz w:val="20"/>
          <w:szCs w:val="20"/>
          <w:color w:val="auto"/>
        </w:rPr>
      </w:pPr>
    </w:p>
    <w:tbl>
      <w:tblPr>
        <w:tblLayout w:type="fixed"/>
        <w:tblInd w:w="1420" w:type="dxa"/>
        <w:tblCellMar>
          <w:top w:w="0" w:type="dxa"/>
          <w:left w:w="0" w:type="dxa"/>
          <w:bottom w:w="0" w:type="dxa"/>
          <w:right w:w="0" w:type="dxa"/>
        </w:tblCellMar>
      </w:tblPr>
      <w:tr>
        <w:trPr>
          <w:trHeight w:val="151"/>
        </w:trPr>
        <w:tc>
          <w:tcPr>
            <w:tcW w:w="920" w:type="dxa"/>
            <w:vAlign w:val="bottom"/>
            <w:tcBorders>
              <w:top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980" w:type="dxa"/>
            <w:vAlign w:val="bottom"/>
            <w:tcBorders>
              <w:top w:val="single" w:sz="8" w:color="auto"/>
            </w:tcBorders>
            <w:gridSpan w:val="19"/>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2.1 (1)</w:t>
            </w:r>
          </w:p>
        </w:tc>
        <w:tc>
          <w:tcPr>
            <w:tcW w:w="9200" w:type="dxa"/>
            <w:vAlign w:val="bottom"/>
            <w:gridSpan w:val="23"/>
          </w:tcPr>
          <w:p>
            <w:pPr>
              <w:spacing w:after="0" w:line="147"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Agreement to Form Joint Venture dated August 12, 2009 by and between The Toro Company and TCF Inventory Finance, Inc. (incorporated by reference</w:t>
              </w:r>
            </w:hyperlink>
          </w:p>
        </w:tc>
        <w:tc>
          <w:tcPr>
            <w:tcW w:w="0" w:type="dxa"/>
            <w:vAlign w:val="bottom"/>
          </w:tcPr>
          <w:p>
            <w:pPr>
              <w:spacing w:after="0"/>
              <w:rPr>
                <w:sz w:val="1"/>
                <w:szCs w:val="1"/>
                <w:color w:val="auto"/>
              </w:rPr>
            </w:pPr>
          </w:p>
        </w:tc>
      </w:tr>
      <w:tr>
        <w:trPr>
          <w:trHeight w:val="128"/>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2.2 (1)</w:t>
            </w:r>
          </w:p>
        </w:tc>
        <w:tc>
          <w:tcPr>
            <w:tcW w:w="896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to Exhibit 2.1 to Registrant's Annual Report on Form 10-K for the fiscal year ended October 31, 2023,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First Amendment to Agreement to Form Joint Venture dated June 6, 2012 by and between The Toro Company and TCF Inventory Finance, Inc.</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1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(incorporated by reference to Exhibit 2.2 to Registrant's Annual Report on Form 10-K for the fiscal year ended October 31, 2023, Commission File No. 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top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8649).</w:t>
              </w:r>
              <w:r>
                <w:rPr>
                  <w:rFonts w:ascii="Times New Roman" w:cs="Times New Roman" w:eastAsia="Times New Roman" w:hAnsi="Times New Roman"/>
                  <w:sz w:val="13"/>
                  <w:szCs w:val="13"/>
                  <w:color w:val="000000"/>
                </w:rPr>
                <w:t>**</w:t>
              </w:r>
            </w:hyperlink>
          </w:p>
        </w:tc>
        <w:tc>
          <w:tcPr>
            <w:tcW w:w="13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46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2.3 (1)</w:t>
            </w:r>
          </w:p>
        </w:tc>
        <w:tc>
          <w:tcPr>
            <w:tcW w:w="36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Second Amendment to Agreement to Form Joint Venture dated November 29, 2016 by and between The Toro Company and TCF Inventory Finance, Inc.</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90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(incorporated by reference to Exhibit 2.3 to Registrant's Annual Report on Form 10-K for the fiscal year ended October 31, 2023, Commission File No. 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gridSpan w:val="2"/>
          </w:tcPr>
          <w:p>
            <w:pPr>
              <w:spacing w:after="0" w:line="115"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8649).</w:t>
              </w:r>
              <w:r>
                <w:rPr>
                  <w:rFonts w:ascii="Times New Roman" w:cs="Times New Roman" w:eastAsia="Times New Roman" w:hAnsi="Times New Roman"/>
                  <w:sz w:val="13"/>
                  <w:szCs w:val="13"/>
                  <w:color w:val="000000"/>
                </w:rPr>
                <w:t>**</w:t>
              </w:r>
            </w:hyperlink>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2.4 (1)</w:t>
            </w:r>
          </w:p>
        </w:tc>
        <w:tc>
          <w:tcPr>
            <w:tcW w:w="3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Third Amendment to Agreement to Form Joint Venture effective as of December 20, 2019 by and between The Toro Company and TCF Inventory</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98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Finance, Inc. (incorporated by reference to Exhibit 2.2 to Registrant’s Quarterly Report on Form 10-Q for the fiscal quarter ended January 31, 2020,</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Commission File No. 1-8649).</w:t>
              </w:r>
            </w:hyperlink>
          </w:p>
        </w:tc>
        <w:tc>
          <w:tcPr>
            <w:tcW w:w="736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2.5 (1)</w:t>
            </w:r>
          </w:p>
        </w:tc>
        <w:tc>
          <w:tcPr>
            <w:tcW w:w="9200" w:type="dxa"/>
            <w:vAlign w:val="bottom"/>
            <w:gridSpan w:val="2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Fourth Amendment to Agreement to Form Joint Venture dated as of March 26, 2021 and effective as of March 2, 2020 by and between The Toro</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1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Company and TCF Inventory Finance, Inc. (incorporated by reference to Exhibit 2.2 to Registrant's Quarterly Report on Form 10-Q for the fiscal quarter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060" w:type="dxa"/>
            <w:vAlign w:val="bottom"/>
            <w:tcBorders>
              <w:top w:val="single" w:sz="8" w:color="0000FF"/>
              <w:bottom w:val="single" w:sz="8" w:color="0000FF"/>
            </w:tcBorders>
            <w:gridSpan w:val="3"/>
          </w:tcPr>
          <w:p>
            <w:pPr>
              <w:spacing w:after="0" w:line="115"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ended April 30, 2021, Commission File No. 1-8649).</w:t>
              </w:r>
            </w:hyperlink>
          </w:p>
        </w:tc>
        <w:tc>
          <w:tcPr>
            <w:tcW w:w="598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2.6 (1)</w:t>
            </w:r>
          </w:p>
        </w:tc>
        <w:tc>
          <w:tcPr>
            <w:tcW w:w="9200" w:type="dxa"/>
            <w:vAlign w:val="bottom"/>
            <w:gridSpan w:val="23"/>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Fifth Amendment to Agreement to Form Joint Venture dated and effective as of June 10, 2022 by and between The Toro Company and TCF Inventory</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888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Finance, Inc. (incorporated by reference to Exhibit 2.6 to Registrant's Annual Report on Form 10-K for the fiscal year ended October 31, 2022,</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760" w:type="dxa"/>
            <w:vAlign w:val="bottom"/>
            <w:tcBorders>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Commission File No. 1-8649).</w:t>
              </w:r>
            </w:hyperlink>
          </w:p>
        </w:tc>
        <w:tc>
          <w:tcPr>
            <w:tcW w:w="72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2.7 (1)</w:t>
            </w:r>
          </w:p>
        </w:tc>
        <w:tc>
          <w:tcPr>
            <w:tcW w:w="9200" w:type="dxa"/>
            <w:vAlign w:val="bottom"/>
            <w:gridSpan w:val="23"/>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Limited Liability Company Agreement of Red Iron Acceptance, LLC dated August 12, 2009 by and between Red Iron Holding Corporation and TCFIF</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914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Joint Venture I, LLC (incorporated by reference to Exhibit 2.7 to Registrant's Annual Report on Form 10-K for the fiscal year ended October 31, 2023,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8940" w:type="dxa"/>
            <w:vAlign w:val="bottom"/>
            <w:tcBorders>
              <w:top w:val="single" w:sz="8" w:color="0000FF"/>
            </w:tcBorders>
            <w:gridSpan w:val="10"/>
          </w:tcPr>
          <w:p>
            <w:pPr>
              <w:spacing w:after="0" w:line="115"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Commission File No. 1-8649).</w:t>
              </w:r>
              <w:r>
                <w:rPr>
                  <w:rFonts w:ascii="Times New Roman" w:cs="Times New Roman" w:eastAsia="Times New Roman" w:hAnsi="Times New Roman"/>
                  <w:sz w:val="13"/>
                  <w:szCs w:val="13"/>
                  <w:color w:val="000000"/>
                </w:rPr>
                <w:t>**</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2.8</w:t>
            </w:r>
          </w:p>
        </w:tc>
        <w:tc>
          <w:tcPr>
            <w:tcW w:w="176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Amendment No. 1 to Limited Liability Company Agreement of Red Iron Acceptance, LLC dated May 31, 2011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1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Corporation and TCFIF Joint Venture I, LLC (incorporated by reference to Exhibit 2.4 to Registrant's Annual Report on Form 10-K for the fiscal year</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9040" w:type="dxa"/>
            <w:vAlign w:val="bottom"/>
            <w:tcBorders>
              <w:top w:val="single" w:sz="8" w:color="0000FF"/>
            </w:tcBorders>
            <w:gridSpan w:val="15"/>
          </w:tcPr>
          <w:p>
            <w:pPr>
              <w:spacing w:after="0" w:line="115"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ended October 31, 2012,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2.9 (1)</w:t>
            </w:r>
          </w:p>
        </w:tc>
        <w:tc>
          <w:tcPr>
            <w:tcW w:w="3220" w:type="dxa"/>
            <w:vAlign w:val="bottom"/>
            <w:gridSpan w:val="4"/>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Second Amendment to Limited Liability Company Agreement of Red Iron Acceptance, LLC dated June 6, 2012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906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Corporation and TCFIF Joint Venture I, LLC (incorporated by reference to Exhibit 2.9 to Registrant's Annual Report on Form 10-K for the fiscal year</w:t>
              </w:r>
            </w:hyperlink>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9020" w:type="dxa"/>
            <w:vAlign w:val="bottom"/>
            <w:tcBorders>
              <w:top w:val="single" w:sz="8" w:color="0000FF"/>
            </w:tcBorders>
            <w:gridSpan w:val="14"/>
          </w:tcPr>
          <w:p>
            <w:pPr>
              <w:spacing w:after="0" w:line="115"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ended October 31, 2023,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2.10 (1)</w:t>
            </w:r>
          </w:p>
        </w:tc>
        <w:tc>
          <w:tcPr>
            <w:tcW w:w="3220" w:type="dxa"/>
            <w:vAlign w:val="bottom"/>
            <w:gridSpan w:val="4"/>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Third Amendment to Limited Liability Company Agreement of Red Iron Acceptance, LLC dated November 29, 2016 by and between Red Iron Holding</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908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Corporation and TCFIF Joint Venture I, LLC (incorporated by reference to Exhibit 2.10 to Registrant's Annual Report on Form 10-K for the fiscal year</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8860" w:type="dxa"/>
            <w:vAlign w:val="bottom"/>
            <w:tcBorders>
              <w:top w:val="single" w:sz="8" w:color="0000FF"/>
            </w:tcBorders>
            <w:gridSpan w:val="6"/>
          </w:tcPr>
          <w:p>
            <w:pPr>
              <w:spacing w:after="0" w:line="115"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ended October 31, 2023,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2.11</w:t>
            </w:r>
          </w:p>
        </w:tc>
        <w:tc>
          <w:tcPr>
            <w:tcW w:w="3220" w:type="dxa"/>
            <w:vAlign w:val="bottom"/>
            <w:gridSpan w:val="4"/>
            <w:shd w:val="clear" w:color="auto" w:fill="0000FF"/>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9200" w:type="dxa"/>
            <w:vAlign w:val="bottom"/>
            <w:gridSpan w:val="23"/>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Fourth Amendment to Limited Liability Company Agreement of Red Iron Acceptance, LLC dated as of July 17, 2019 by and between Red Iron Holding</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892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Corporation and TCFIF Joint Venture I, LLC (incorporated by reference to Exhibit 2.9 to Registrant's Annual Report on Form 10-K for the fiscal year</w:t>
              </w:r>
            </w:hyperlink>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ended October 31, 2020, Commission File No. 1-8649).</w:t>
              </w:r>
            </w:hyperlink>
          </w:p>
        </w:tc>
        <w:tc>
          <w:tcPr>
            <w:tcW w:w="5820" w:type="dxa"/>
            <w:vAlign w:val="bottom"/>
            <w:tcBorders>
              <w:top w:val="single" w:sz="8" w:color="0000FF"/>
            </w:tcBorders>
            <w:gridSpan w:val="11"/>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2.12</w:t>
            </w:r>
          </w:p>
        </w:tc>
        <w:tc>
          <w:tcPr>
            <w:tcW w:w="9320" w:type="dxa"/>
            <w:vAlign w:val="bottom"/>
            <w:gridSpan w:val="4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Fifth Amendment to Limited Liability Company Agreement of Red Iron Acceptance, LLC effective as of December 20, 2019 by and between Red Iron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20" w:type="dxa"/>
            <w:vAlign w:val="bottom"/>
            <w:tcBorders>
              <w:top w:val="single" w:sz="8" w:color="0000FF"/>
            </w:tcBorders>
            <w:gridSpan w:val="23"/>
          </w:tcPr>
          <w:p>
            <w:pPr>
              <w:spacing w:after="0" w:line="115"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Holding Corporation and TCFIF Joint Venture I, LLC (incorporated by reference to Exhibit 2.3 to Registrant’s Quarterly Report on Form 10-Q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888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fiscal quarter ended January 31, 2020, Commission File No. 1-8649).</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2.13</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Sixth Amendment to Limited Liability Company Agreement of Red Iron Acceptance, LLC effective as of March 10, 2022 by and between Red Iron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80" w:type="dxa"/>
            <w:vAlign w:val="bottom"/>
            <w:tcBorders>
              <w:top w:val="single" w:sz="8" w:color="0000FF"/>
            </w:tcBorders>
            <w:gridSpan w:val="41"/>
          </w:tcPr>
          <w:p>
            <w:pPr>
              <w:spacing w:after="0" w:line="115"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Holding Corporation and TCFIF Joint Venture I, LLC (incorporated by reference to Exhibit 2.13 to Registrant's Annual Report on Form 10-K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260" w:type="dxa"/>
            <w:vAlign w:val="bottom"/>
            <w:tcBorders>
              <w:top w:val="single" w:sz="8" w:color="0000FF"/>
            </w:tcBorders>
            <w:gridSpan w:val="40"/>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fiscal year ended October 31, 2023, Commission File No. 1-8649).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3.1 and 4.1</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Restated Certificate of Incorporation of The Toro Company (incorporated by reference to Exhibit 3.1 to Registrant’s Current Report on Form 8-K as filed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20" w:type="dxa"/>
            <w:vAlign w:val="bottom"/>
            <w:tcBorders>
              <w:top w:val="single" w:sz="8" w:color="0000FF"/>
            </w:tcBorders>
            <w:gridSpan w:val="38"/>
          </w:tcPr>
          <w:p>
            <w:pPr>
              <w:spacing w:after="0" w:line="115"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with the Securities and Exchange Commission on June 18, 2008, Commission File No. 1-8649).</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3.2 and 4.2</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Certificate of Amendment to Restated Certificate of Incorporation of The Toro Company (incorporated by reference to Exhibit 3.1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7320" w:type="dxa"/>
            <w:vAlign w:val="bottom"/>
            <w:tcBorders>
              <w:top w:val="single" w:sz="8" w:color="0000FF"/>
              <w:bottom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Report on Form 8-K as filed with the Securities and Exchange Commission on March 13, 2013, Commission File No. 1-8649).</w:t>
              </w:r>
            </w:hyperlink>
          </w:p>
        </w:tc>
        <w:tc>
          <w:tcPr>
            <w:tcW w:w="18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3.3 and 4.3</w:t>
            </w:r>
          </w:p>
        </w:tc>
        <w:tc>
          <w:tcPr>
            <w:tcW w:w="9320" w:type="dxa"/>
            <w:vAlign w:val="bottom"/>
            <w:gridSpan w:val="43"/>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Bylaws of The Toro Company (incorporated by reference to Exhibit 3.1 to Registrant’s Current Report on Form 8-K as filed with</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5240" w:type="dxa"/>
            <w:vAlign w:val="bottom"/>
            <w:tcBorders>
              <w:top w:val="single" w:sz="8" w:color="0000FF"/>
              <w:bottom w:val="single" w:sz="8" w:color="0000FF"/>
            </w:tcBorders>
            <w:gridSpan w:val="11"/>
          </w:tcPr>
          <w:p>
            <w:pPr>
              <w:spacing w:after="0" w:line="115"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the Securities and Exchange Commission on May 30, 2023, Commission File No. 1-8649).</w:t>
              </w:r>
            </w:hyperlink>
          </w:p>
        </w:tc>
        <w:tc>
          <w:tcPr>
            <w:tcW w:w="38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4.4</w:t>
            </w:r>
          </w:p>
        </w:tc>
        <w:tc>
          <w:tcPr>
            <w:tcW w:w="9320" w:type="dxa"/>
            <w:vAlign w:val="bottom"/>
            <w:gridSpan w:val="43"/>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Specimen Form of Common Stock Certificate (incorporated by reference to Exhibit 4(c) to Registrant's Quarterly Report on Form 10-Q for the fiscal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quarter ended August 1, 2008, Commission File No. 1-8649).</w:t>
              </w:r>
            </w:hyperlink>
          </w:p>
        </w:tc>
        <w:tc>
          <w:tcPr>
            <w:tcW w:w="53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4.5</w:t>
            </w:r>
          </w:p>
        </w:tc>
        <w:tc>
          <w:tcPr>
            <w:tcW w:w="9320" w:type="dxa"/>
            <w:vAlign w:val="bottom"/>
            <w:gridSpan w:val="43"/>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Description of Common Stock of The Toro Company (incorporated by reference to Exhibit 4.5 to Registrant's Annual Report on Form 10-K for the fiscal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350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year ended October 31, 2023, Commission File No. 1-8649).</w:t>
              </w:r>
            </w:hyperlink>
          </w:p>
        </w:tc>
        <w:tc>
          <w:tcPr>
            <w:tcW w:w="5700" w:type="dxa"/>
            <w:vAlign w:val="bottom"/>
            <w:tcBorders>
              <w:top w:val="single" w:sz="8" w:color="0000FF"/>
            </w:tcBorders>
            <w:gridSpan w:val="3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4.6</w:t>
            </w:r>
          </w:p>
        </w:tc>
        <w:tc>
          <w:tcPr>
            <w:tcW w:w="932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Indenture dated as of January 31, 1997 between Registrant and First National Trust Association, as Trustee, relating to The Toro Company's 7.80%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9320" w:type="dxa"/>
            <w:vAlign w:val="bottom"/>
            <w:gridSpan w:val="43"/>
          </w:tcPr>
          <w:p>
            <w:pPr>
              <w:spacing w:after="0" w:line="139" w:lineRule="exact"/>
              <w:rPr>
                <w:sz w:val="20"/>
                <w:szCs w:val="20"/>
                <w:color w:val="auto"/>
              </w:rPr>
            </w:pPr>
            <w:r>
              <w:rPr>
                <w:rFonts w:ascii="Times New Roman" w:cs="Times New Roman" w:eastAsia="Times New Roman" w:hAnsi="Times New Roman"/>
                <w:sz w:val="14"/>
                <w:szCs w:val="14"/>
                <w:color w:val="auto"/>
              </w:rPr>
              <w:t>Debentures due June 15, 2027 (incorporated by reference to Exhibit 4(a) to Registrant's Current Report on Form 8-K as filed with the Securities and</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932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Exchange Commission on June 27, 1997, Commission File No. 1-8649). (Filed on paper - hyperlink not required pursuant to Rule 105 of Regulation S-T)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4.7</w:t>
            </w:r>
          </w:p>
        </w:tc>
        <w:tc>
          <w:tcPr>
            <w:tcW w:w="9320" w:type="dxa"/>
            <w:vAlign w:val="bottom"/>
            <w:gridSpan w:val="43"/>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Indenture dated as of April 20, 2007, between Registrant and The Bank of New York Trust Company, N.A., as Trustee, relating to The Toro Company’s</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40" w:type="dxa"/>
            <w:vAlign w:val="bottom"/>
            <w:tcBorders>
              <w:top w:val="single" w:sz="8" w:color="0000FF"/>
            </w:tcBorders>
            <w:gridSpan w:val="34"/>
          </w:tcPr>
          <w:p>
            <w:pPr>
              <w:spacing w:after="0" w:line="115"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6.</w:t>
              </w:r>
              <w:r>
                <w:rPr>
                  <w:rFonts w:ascii="Times New Roman" w:cs="Times New Roman" w:eastAsia="Times New Roman" w:hAnsi="Times New Roman"/>
                  <w:sz w:val="13"/>
                  <w:szCs w:val="13"/>
                  <w:u w:val="single" w:color="auto"/>
                  <w:color w:val="0000FF"/>
                </w:rPr>
                <w:t>625%</w:t>
              </w:r>
              <w:r>
                <w:rPr>
                  <w:rFonts w:ascii="Times New Roman" w:cs="Times New Roman" w:eastAsia="Times New Roman" w:hAnsi="Times New Roman"/>
                  <w:sz w:val="13"/>
                  <w:szCs w:val="13"/>
                  <w:color w:val="0000FF"/>
                </w:rPr>
                <w:t xml:space="preserve"> Notes due May 1, 2037 (incorporated by reference to Exhibit 4.3 to Registrant’s Registration Statement on Form S-3 as filed with the Securities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6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and Exchange Commission on April 23, 2007, Registration No. 333-142282).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4.8</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First Supplemental Indenture dated as of April 26,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80" w:type="dxa"/>
            <w:vAlign w:val="bottom"/>
            <w:tcBorders>
              <w:top w:val="single" w:sz="8" w:color="0000FF"/>
            </w:tcBorders>
            <w:gridSpan w:val="26"/>
          </w:tcPr>
          <w:p>
            <w:pPr>
              <w:spacing w:after="0" w:line="115"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Toro Company’s 6.625% Notes due May 1, 2037 (incorporated by reference to Exhibit 4.1 to Registrant’s Current Report on Form 8-K as filed with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892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Securities and Exchange Commission on April 26, 2007,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4.9</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The Toro Company 6.625% Note due May 1, 2037 (incorporated by reference to Exhibit 4.2 to Registrant’s Current Report on Form 8-K as filed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0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with the Securities and Exchange Commission on April 26, 2007, Commission File No. 1-8649).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The Toro Company 2022 Equity and Incentive Plan (incorporated by reference to Exhibit 10.1 to Registrant’s Current Report on Form 8-K as filed with</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860" w:type="dxa"/>
            <w:vAlign w:val="bottom"/>
            <w:tcBorders>
              <w:top w:val="single" w:sz="8" w:color="0000FF"/>
            </w:tcBorders>
            <w:gridSpan w:val="20"/>
          </w:tcPr>
          <w:p>
            <w:pPr>
              <w:spacing w:after="0" w:line="115"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the Securities and Exchange Commission on March 16, 2022,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The Toro Company Amended and Restated 2010 Equity and Incentive Plan, as amended and restated (incorporated by reference to Exhibit 10.1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60" w:type="dxa"/>
            <w:vAlign w:val="bottom"/>
            <w:tcBorders>
              <w:top w:val="single" w:sz="8" w:color="0000FF"/>
            </w:tcBorders>
            <w:gridSpan w:val="35"/>
          </w:tcPr>
          <w:p>
            <w:pPr>
              <w:spacing w:after="0" w:line="115"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Registrant’s Annual Report on Form 10-K for the fiscal year ended October 31, 2016,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10.3</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Amendment No. 1 to The Toro Company Amended and Restated 2010 Equity and Incentive Plan, as Amended and Restated, dated as of December 3,</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80" w:type="dxa"/>
            <w:vAlign w:val="bottom"/>
            <w:tcBorders>
              <w:top w:val="single" w:sz="8" w:color="0000FF"/>
            </w:tcBorders>
            <w:gridSpan w:val="31"/>
          </w:tcPr>
          <w:p>
            <w:pPr>
              <w:spacing w:after="0" w:line="115"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2019 (incorporated by reference to Exhibit 10.2 to Registrant's Annual Report on Form 10-K for the fiscal year ended October 31, 2019, Commission File</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22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10.4</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The Toro Company Supplemental Benefit Plan, Amended and Restated Effective January 1, 2017 (incorporated by reference to Exhibit 10.8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60" w:type="dxa"/>
            <w:vAlign w:val="bottom"/>
            <w:tcBorders>
              <w:top w:val="single" w:sz="8" w:color="0000FF"/>
            </w:tcBorders>
            <w:gridSpan w:val="40"/>
          </w:tcPr>
          <w:p>
            <w:pPr>
              <w:spacing w:after="0" w:line="115"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10.5</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The Toro Company Deferred Compensation Plan, Amended and Restated Effective January 1, 2017 (incorporated by reference to Exhibit 10.9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60" w:type="dxa"/>
            <w:vAlign w:val="bottom"/>
            <w:tcBorders>
              <w:top w:val="single" w:sz="8" w:color="0000FF"/>
            </w:tcBorders>
            <w:gridSpan w:val="30"/>
          </w:tcPr>
          <w:p>
            <w:pPr>
              <w:spacing w:after="0" w:line="115"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10.6</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The Toro Company Deferred Compensation Plan for Officers, Amended and Restated Effective January 1, 2017 (incorporated by reference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00" w:type="dxa"/>
            <w:vAlign w:val="bottom"/>
            <w:tcBorders>
              <w:top w:val="single" w:sz="8" w:color="0000FF"/>
            </w:tcBorders>
            <w:gridSpan w:val="32"/>
          </w:tcPr>
          <w:p>
            <w:pPr>
              <w:spacing w:after="0" w:line="115"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Exhibit 10.10 to 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10.7</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42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The Toro Company Deferred Compensation Plan for Non-Employee Directors, Amended and Restated Effective January 1, 2017 (incorporated by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00" w:type="dxa"/>
            <w:vAlign w:val="bottom"/>
            <w:tcBorders>
              <w:top w:val="single" w:sz="8" w:color="0000FF"/>
            </w:tcBorders>
            <w:gridSpan w:val="42"/>
          </w:tcPr>
          <w:p>
            <w:pPr>
              <w:spacing w:after="0" w:line="115"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reference to Exhibit 10.11 to Registrant's Quarterly Report on Form 10-Q for the fiscal quarter ended February 3, 2017,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10.8</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12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Nonqualified Stock Option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10.9</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Nonemployee Director Stock Option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20" w:type="dxa"/>
            <w:vAlign w:val="bottom"/>
            <w:tcBorders>
              <w:top w:val="single" w:sz="8" w:color="0000FF"/>
            </w:tcBorders>
            <w:gridSpan w:val="28"/>
          </w:tcPr>
          <w:p>
            <w:pPr>
              <w:spacing w:after="0" w:line="115"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Exhibit 10.3 to Registrant’s Current Report on Form 8-K as filed with the Securities and Exchange Commission on March 16, 2022, Commission File No.</w:t>
              </w:r>
            </w:hyperlink>
          </w:p>
        </w:tc>
        <w:tc>
          <w:tcPr>
            <w:tcW w:w="16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70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1-8649).</w:t>
              </w:r>
              <w:r>
                <w:rPr>
                  <w:rFonts w:ascii="Times New Roman" w:cs="Times New Roman" w:eastAsia="Times New Roman" w:hAnsi="Times New Roman"/>
                  <w:sz w:val="14"/>
                  <w:szCs w:val="14"/>
                  <w:color w:val="000000"/>
                </w:rPr>
                <w:t>*</w:t>
              </w:r>
            </w:hyperlink>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10.10</w:t>
            </w: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Restricted Stock Unit Award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10.11</w:t>
            </w:r>
          </w:p>
        </w:tc>
        <w:tc>
          <w:tcPr>
            <w:tcW w:w="360" w:type="dxa"/>
            <w:vAlign w:val="bottom"/>
            <w:shd w:val="clear" w:color="auto" w:fill="0000FF"/>
          </w:tcPr>
          <w:p>
            <w:pPr>
              <w:spacing w:after="0" w:line="20" w:lineRule="exact"/>
              <w:rPr>
                <w:sz w:val="1"/>
                <w:szCs w:val="1"/>
                <w:color w:val="auto"/>
              </w:rPr>
            </w:pPr>
          </w:p>
        </w:tc>
        <w:tc>
          <w:tcPr>
            <w:tcW w:w="4040" w:type="dxa"/>
            <w:vAlign w:val="bottom"/>
            <w:tcBorders>
              <w:left w:val="single" w:sz="8" w:color="0000FF"/>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Performance Share Award Agreement for use with The Toro Company 2022 Equity and Incentive Plan (incorporated by reference to Exhibit 10.5</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20" w:type="dxa"/>
            <w:vAlign w:val="bottom"/>
            <w:tcBorders>
              <w:top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to Registrant’s Current Report on Form 8-K as filed with the Securities and Exchange Commission on March 16, 2022, Commission File No. 1-8649).</w:t>
              </w:r>
              <w:r>
                <w:rPr>
                  <w:rFonts w:ascii="Times New Roman" w:cs="Times New Roman" w:eastAsia="Times New Roman" w:hAnsi="Times New Roman"/>
                  <w:sz w:val="13"/>
                  <w:szCs w:val="13"/>
                  <w:color w:val="000000"/>
                </w:rPr>
                <w:t>*</w:t>
              </w:r>
            </w:hyperlink>
          </w:p>
        </w:tc>
        <w:tc>
          <w:tcPr>
            <w:tcW w:w="120" w:type="dxa"/>
            <w:vAlign w:val="bottom"/>
            <w:gridSpan w:val="6"/>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10.12</w:t>
            </w:r>
          </w:p>
        </w:tc>
        <w:tc>
          <w:tcPr>
            <w:tcW w:w="360" w:type="dxa"/>
            <w:vAlign w:val="bottom"/>
            <w:shd w:val="clear" w:color="auto" w:fill="0000FF"/>
          </w:tcPr>
          <w:p>
            <w:pPr>
              <w:spacing w:after="0" w:line="20" w:lineRule="exact"/>
              <w:rPr>
                <w:sz w:val="1"/>
                <w:szCs w:val="1"/>
                <w:color w:val="auto"/>
              </w:rPr>
            </w:pPr>
          </w:p>
        </w:tc>
        <w:tc>
          <w:tcPr>
            <w:tcW w:w="404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1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Annual Performance Award Agreement for use with The Toro Company 2022 Equity and Incentive Plan (incorporated by reference to Exhibit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40" w:type="dxa"/>
            <w:vAlign w:val="bottom"/>
            <w:tcBorders>
              <w:top w:val="single" w:sz="8" w:color="0000FF"/>
            </w:tcBorders>
            <w:gridSpan w:val="29"/>
          </w:tcPr>
          <w:p>
            <w:pPr>
              <w:spacing w:after="0" w:line="115"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w:t>
              </w:r>
              <w:r>
                <w:rPr>
                  <w:rFonts w:ascii="Times New Roman" w:cs="Times New Roman" w:eastAsia="Times New Roman" w:hAnsi="Times New Roman"/>
                  <w:sz w:val="13"/>
                  <w:szCs w:val="13"/>
                  <w:color w:val="0000FF"/>
                </w:rPr>
                <w:t xml:space="preserve"> to Registrant’s Current Report on Form 8-K as filed with the Securities and Exchange Commission on March 16, 2022, Commission File No. 1-</w:t>
              </w:r>
            </w:hyperlink>
          </w:p>
        </w:tc>
        <w:tc>
          <w:tcPr>
            <w:tcW w:w="200" w:type="dxa"/>
            <w:vAlign w:val="bottom"/>
            <w:gridSpan w:val="10"/>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8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8649).</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10.13</w:t>
            </w:r>
          </w:p>
        </w:tc>
        <w:tc>
          <w:tcPr>
            <w:tcW w:w="360" w:type="dxa"/>
            <w:vAlign w:val="bottom"/>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Nonemployee Director Stock Option Agreement between The Toro Company and its Non-Employee Directors under The Toro Company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00" w:type="dxa"/>
            <w:vAlign w:val="bottom"/>
            <w:tcBorders>
              <w:top w:val="single" w:sz="8" w:color="0000FF"/>
            </w:tcBorders>
            <w:gridSpan w:val="42"/>
          </w:tcPr>
          <w:p>
            <w:pPr>
              <w:spacing w:after="0" w:line="115"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Amended and Restated 2010 Equity and Incentive Plan, as amended and restated (incorporated by reference to Exhibit 10.11 to Registrant’s Annual</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896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Report on Form 10-K for the fiscal year ended October 31, 2016, Commission File No. 1-8649).</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240" w:type="dxa"/>
            <w:vAlign w:val="bottom"/>
            <w:gridSpan w:val="1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10.14</w:t>
            </w:r>
          </w:p>
        </w:tc>
        <w:tc>
          <w:tcPr>
            <w:tcW w:w="440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Nonqualified Stock Option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40" w:type="dxa"/>
            <w:vAlign w:val="bottom"/>
            <w:tcBorders>
              <w:top w:val="single" w:sz="8" w:color="0000FF"/>
              <w:bottom w:val="single" w:sz="8" w:color="0000FF"/>
            </w:tcBorders>
            <w:gridSpan w:val="24"/>
          </w:tcPr>
          <w:p>
            <w:pPr>
              <w:spacing w:after="0" w:line="115"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and Restated 2010 Equity and Incentive Plan, as amended and restated (incorporated by reference to Exhibit 10.14 to Registrant’s Annual Report on Form</w:t>
              </w:r>
            </w:hyperlink>
          </w:p>
        </w:tc>
        <w:tc>
          <w:tcPr>
            <w:tcW w:w="60" w:type="dxa"/>
            <w:vAlign w:val="bottom"/>
            <w:tcBorders>
              <w:bottom w:val="single" w:sz="8" w:color="0000FF"/>
            </w:tcBorders>
            <w:gridSpan w:val="3"/>
          </w:tcPr>
          <w:p>
            <w:pPr>
              <w:spacing w:after="0"/>
              <w:rPr>
                <w:sz w:val="10"/>
                <w:szCs w:val="10"/>
                <w:color w:val="auto"/>
              </w:rPr>
            </w:pPr>
          </w:p>
        </w:tc>
        <w:tc>
          <w:tcPr>
            <w:tcW w:w="240" w:type="dxa"/>
            <w:vAlign w:val="bottom"/>
            <w:gridSpan w:val="1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00" w:type="dxa"/>
            <w:vAlign w:val="bottom"/>
            <w:gridSpan w:val="27"/>
          </w:tcPr>
          <w:p>
            <w:pPr>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40" w:type="dxa"/>
            <w:vAlign w:val="bottom"/>
            <w:gridSpan w:val="1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10.15</w:t>
            </w:r>
          </w:p>
        </w:tc>
        <w:tc>
          <w:tcPr>
            <w:tcW w:w="440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660" w:type="dxa"/>
            <w:vAlign w:val="bottom"/>
            <w:gridSpan w:val="3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320" w:type="dxa"/>
            <w:vAlign w:val="bottom"/>
            <w:gridSpan w:val="4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Performance Share Award Agreement between The Toro Company and its officers and other employees under The Toro Company Amended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40" w:type="dxa"/>
            <w:vAlign w:val="bottom"/>
            <w:tcBorders>
              <w:top w:val="single" w:sz="8" w:color="0000FF"/>
            </w:tcBorders>
            <w:gridSpan w:val="39"/>
          </w:tcPr>
          <w:p>
            <w:pPr>
              <w:spacing w:after="0" w:line="115"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Restated 2010 Equity and Incentive Plan, as amended and restated (incorporated by reference to Exhibit 10.17 to Registrant’s Annual Report on Form 10-</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886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K for the fiscal year ended October 31, 2016, Commission File No. 1-8649).</w:t>
              </w:r>
              <w:r>
                <w:rPr>
                  <w:rFonts w:ascii="Times New Roman" w:cs="Times New Roman" w:eastAsia="Times New Roman" w:hAnsi="Times New Roman"/>
                  <w:sz w:val="14"/>
                  <w:szCs w:val="14"/>
                  <w:color w:val="000000"/>
                </w:rPr>
                <w:t>*</w:t>
              </w:r>
            </w:hyperlink>
          </w:p>
        </w:tc>
        <w:tc>
          <w:tcPr>
            <w:tcW w:w="460" w:type="dxa"/>
            <w:vAlign w:val="bottom"/>
            <w:gridSpan w:val="2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10.16</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Annual Performance Award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60" w:type="dxa"/>
            <w:vAlign w:val="bottom"/>
            <w:tcBorders>
              <w:top w:val="single" w:sz="8" w:color="0000FF"/>
            </w:tcBorders>
            <w:gridSpan w:val="42"/>
          </w:tcPr>
          <w:p>
            <w:pPr>
              <w:spacing w:after="0" w:line="115"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and Restated 2010 Equity and Incentive Plan, as amended and restated (incorporated by reference to Exhibit 10.18 to Registrant’s Annual Report on Form</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10.17</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Restricted Stock Award Agreement between The Toro Company and its officers and other employees under The Toro Company Amended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80" w:type="dxa"/>
            <w:vAlign w:val="bottom"/>
            <w:tcBorders>
              <w:top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Restated 2010 Equity and Incentive Plan, as amended and restated (incorporated by reference to Exhibit 10.19 to Registrant’s Annual Report on Form 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88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10.18</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Form of Restricted Stock Unit Award Agreement between The Toro Company and its officers and other employees under The Toro Company Amended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6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and Restated 2010 Equity and Incentive Plan, as amended and restated (incorporated by reference to Exhibit 10.21 to Registrant’s Annual Report on Form</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0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10-K for the fiscal year ended October 31, 2016, Commission File No. 1-8649).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10.19</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Indemnification Agreement with the members of the Board of Directors (incorporated by reference to Exhibit 10(u) to Registrant's Annual</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00" w:type="dxa"/>
            <w:vAlign w:val="bottom"/>
            <w:tcBorders>
              <w:top w:val="single" w:sz="8" w:color="0000FF"/>
            </w:tcBorders>
            <w:gridSpan w:val="39"/>
          </w:tcPr>
          <w:p>
            <w:pPr>
              <w:spacing w:after="0" w:line="115"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Report on Form 10-K for the fiscal year ended October 31, 2006,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10.20</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The Toro Company Change in Control Severance Compensation Policy and attached Form of Release (incorporated by reference to Exhibit 10.1 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980" w:type="dxa"/>
            <w:vAlign w:val="bottom"/>
            <w:tcBorders>
              <w:top w:val="single" w:sz="8" w:color="0000FF"/>
            </w:tcBorders>
            <w:gridSpan w:val="23"/>
          </w:tcPr>
          <w:p>
            <w:pPr>
              <w:spacing w:after="0" w:line="115"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Registrant's Current Report on Form 8-K as filed with the Securities and Exchange Commission on January 21, 2011,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10.21</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Offer Letter dated August 18, 2015 between The Toro Company and Richard M. Olson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40" w:type="dxa"/>
            <w:vAlign w:val="bottom"/>
            <w:tcBorders>
              <w:top w:val="single" w:sz="8" w:color="0000FF"/>
            </w:tcBorders>
            <w:gridSpan w:val="46"/>
          </w:tcPr>
          <w:p>
            <w:pPr>
              <w:spacing w:after="0" w:line="115"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Report on Form 8-K as filed with the Securities and Exchange Commission on August 19, 2015, Commission File No. 1-8649).</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10.22</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Offer Letter dated July 19, 2016 between The Toro Company and Richard M. Olson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20" w:type="dxa"/>
            <w:vAlign w:val="bottom"/>
            <w:tcBorders>
              <w:top w:val="single" w:sz="8" w:color="0000FF"/>
            </w:tcBorders>
            <w:gridSpan w:val="45"/>
          </w:tcPr>
          <w:p>
            <w:pPr>
              <w:spacing w:after="0" w:line="115"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Report on Form 8-K as filed with the Securities and Exchange Commission on July 19, 2016, Commission File No. 1-8649).</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10.23</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Offer Letter dated February 13, 2023 between The Toro Company and Angela C. Drake (incorporated by reference to Exhibit 10.1 to Registrant’s Current</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00" w:type="dxa"/>
            <w:vAlign w:val="bottom"/>
            <w:tcBorders>
              <w:top w:val="single" w:sz="8" w:color="0000FF"/>
            </w:tcBorders>
            <w:gridSpan w:val="44"/>
          </w:tcPr>
          <w:p>
            <w:pPr>
              <w:spacing w:after="0" w:line="115"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Report on Form 8-K as filed with the Securities and Exchange Commission on February 14, 2023, Commission File No. 1-8649).</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10.24</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Second Amended and Restated Credit Agreement dated as of October 2, 2024, by and among The Toro Company, Toro Luxembourg S.A.R.L.,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40" w:type="dxa"/>
            <w:vAlign w:val="bottom"/>
            <w:tcBorders>
              <w:top w:val="single" w:sz="8" w:color="0000FF"/>
            </w:tcBorders>
            <w:gridSpan w:val="31"/>
          </w:tcPr>
          <w:p>
            <w:pPr>
              <w:spacing w:after="0" w:line="115"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Certain Other Subsidiaries, as Borrowers, Bank of America, N.A., as Administrative Agent, Swing Line Lender and L/C Issuer, U.S. Bank National</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040" w:type="dxa"/>
            <w:vAlign w:val="bottom"/>
            <w:tcBorders>
              <w:top w:val="single" w:sz="8" w:color="0000FF"/>
              <w:bottom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Association and Wells Fargo Bank, National Association, as Co-Syndication Agents, and BMO Bank, N.A., HSBC Bank USA, National Association, and</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260" w:type="dxa"/>
            <w:vAlign w:val="bottom"/>
            <w:gridSpan w:val="37"/>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PNC Bank, National Association, as Co-Documentation Agents, and The Other Lenders Party Thereto (incorporated by reference to Exhibit 10.1 to</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4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Registrant’s Current Report on Form 8-K as filed with the Securities and Exchange Commission on October 3, 2024, Commission File No. 1-8649).</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10.25</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Term Loan Credit Agreement dated as of April 27, 2022, by and among The Toro Company, as Borrower, Bank of America, N.A., as Administrative</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00" w:type="dxa"/>
            <w:vAlign w:val="bottom"/>
            <w:tcBorders>
              <w:top w:val="single" w:sz="8" w:color="0000FF"/>
              <w:bottom w:val="single" w:sz="8" w:color="0000FF"/>
            </w:tcBorders>
            <w:gridSpan w:val="34"/>
          </w:tcPr>
          <w:p>
            <w:pPr>
              <w:spacing w:after="0" w:line="115"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Agent, Wells Fargo Bank, National Association and U.S. Bank National Association, as Co-Syndication Agents and the Other Lenders Party Thereto</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9380" w:type="dxa"/>
            <w:vAlign w:val="bottom"/>
            <w:gridSpan w:val="43"/>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(incorporated by reference to Exhibit 10.1 to Registrant’s Current Report on Form 8-K as filed with the Securities and Exchange Commission on April</w:t>
              </w:r>
            </w:hyperlink>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28, 2022, Commission File No. 1-8649).</w:t>
              </w:r>
            </w:hyperlink>
          </w:p>
        </w:tc>
        <w:tc>
          <w:tcPr>
            <w:tcW w:w="6600" w:type="dxa"/>
            <w:vAlign w:val="bottom"/>
            <w:tcBorders>
              <w:top w:val="single" w:sz="8" w:color="0000FF"/>
            </w:tcBorders>
            <w:gridSpan w:val="18"/>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10.26</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Amendment No. 1 to Term Loan Credit Agreement dated as of September 22, 2023, by and among The Toro Company, each of the Lenders Party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80" w:type="dxa"/>
            <w:vAlign w:val="bottom"/>
            <w:tcBorders>
              <w:top w:val="single" w:sz="8" w:color="0000FF"/>
            </w:tcBorders>
            <w:gridSpan w:val="38"/>
          </w:tcPr>
          <w:p>
            <w:pPr>
              <w:spacing w:after="0" w:line="115"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Thereto, and Bank of America, N.A., as Administrative Agent (incorporated by reference to Exhibit 10.29 to Registrant's Annual Report on Form 10-K</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2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 the fiscal year ended October 31, 2023, Commission File No. 1-8649).</w:t>
              </w:r>
            </w:hyperlink>
          </w:p>
        </w:tc>
        <w:tc>
          <w:tcPr>
            <w:tcW w:w="4760" w:type="dxa"/>
            <w:vAlign w:val="bottom"/>
            <w:tcBorders>
              <w:top w:val="single" w:sz="8" w:color="0000FF"/>
            </w:tcBorders>
            <w:gridSpan w:val="19"/>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10.27</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Note Purchase Agreement, dated as of April 30, 2019, by and among The Toro Company and the Purchasers listed on the Purchaser Schedule Thereto</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00" w:type="dxa"/>
            <w:vAlign w:val="bottom"/>
            <w:tcBorders>
              <w:top w:val="single" w:sz="8" w:color="0000FF"/>
              <w:bottom w:val="single" w:sz="8" w:color="0000FF"/>
            </w:tcBorders>
            <w:gridSpan w:val="29"/>
          </w:tcPr>
          <w:p>
            <w:pPr>
              <w:spacing w:after="0" w:line="115"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(incorporated by reference to Exhibit 10.1 to the Registrant’s Current Report on Form 8-K as filed with the Securities and Exchange Commission on April</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100" w:type="dxa"/>
            <w:vAlign w:val="bottom"/>
            <w:tcBorders>
              <w:bottom w:val="single" w:sz="8" w:color="0000FF"/>
            </w:tcBorders>
            <w:gridSpan w:val="5"/>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34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30, 2019, Commission File No. 1-8649).</w:t>
              </w:r>
            </w:hyperlink>
          </w:p>
        </w:tc>
        <w:tc>
          <w:tcPr>
            <w:tcW w:w="7000" w:type="dxa"/>
            <w:vAlign w:val="bottom"/>
            <w:gridSpan w:val="38"/>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10.28</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Second Amendment, dated as of June 30, 2022, to Note Purchase Agreement, dated as of April 30, 2019, by and among The Toro Company and each of</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20" w:type="dxa"/>
            <w:vAlign w:val="bottom"/>
            <w:tcBorders>
              <w:top w:val="single" w:sz="8" w:color="0000FF"/>
            </w:tcBorders>
            <w:gridSpan w:val="25"/>
          </w:tcPr>
          <w:p>
            <w:pPr>
              <w:spacing w:after="0" w:line="115"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the Institutions a Signatory Thereto (incorporated by reference to Exhibit 10.3 to Registrant’s Current Report on Form 8-K as filed with the Securities and</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1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Exchange Commission on June 30, 2022, Commission File No. 1-8649).</w:t>
              </w:r>
            </w:hyperlink>
          </w:p>
        </w:tc>
        <w:tc>
          <w:tcPr>
            <w:tcW w:w="47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10.29</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Note Purchase Agreement, dated as of June 30, 2022, by and among The Toro Company and the Purchasers Listed on the Purchaser Schedule Thereto and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00" w:type="dxa"/>
            <w:vAlign w:val="bottom"/>
            <w:tcBorders>
              <w:top w:val="single" w:sz="8" w:color="0000FF"/>
            </w:tcBorders>
            <w:gridSpan w:val="44"/>
          </w:tcPr>
          <w:p>
            <w:pPr>
              <w:spacing w:after="0" w:line="115"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Form of 3.97% Senior Note due June 30, 2032 (incorporated by reference to Exhibit 10.1 to Registrant’s Current Report on Form 8-K as filed with the</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908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Securities and Exchange Commission on June 30, 2022, Commission File No. 1-8649).</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10.30 (1)</w:t>
            </w: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9460" w:type="dxa"/>
            <w:vAlign w:val="bottom"/>
            <w:gridSpan w:val="47"/>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Credit and Security Agreement dated as of August 12, 2009 by and between Red Iron Acceptance, LLC and TCF Inventory Finance, Inc. (incorporated</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580" w:type="dxa"/>
            <w:vAlign w:val="bottom"/>
            <w:tcBorders>
              <w:top w:val="single" w:sz="8" w:color="0000FF"/>
              <w:bottom w:val="single" w:sz="8" w:color="0000FF"/>
            </w:tcBorders>
            <w:gridSpan w:val="16"/>
          </w:tcPr>
          <w:p>
            <w:pPr>
              <w:spacing w:after="0" w:line="115"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by reference to Exhibit 10.33 to Registrant's Annual Report on Form 10-K for the fiscal year ended October 31, 2023, Commission File No. 1-8649).</w:t>
              </w:r>
            </w:hyperlink>
          </w:p>
        </w:tc>
        <w:tc>
          <w:tcPr>
            <w:tcW w:w="72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10.31 (1)</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First Amendment to Credit and Security Agreement dated as of June 6, 2012 by and between Red Iron Acceptance, LLC and TCF Inventory Finance, Inc.</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220" w:type="dxa"/>
            <w:vAlign w:val="bottom"/>
            <w:tcBorders>
              <w:top w:val="single" w:sz="8" w:color="0000FF"/>
            </w:tcBorders>
            <w:gridSpan w:val="35"/>
          </w:tcPr>
          <w:p>
            <w:pPr>
              <w:spacing w:after="0" w:line="115"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(incorporated by reference to Exhibit 10.34 to Registrant's Annual Report on Form 10-K for the fiscal year ended October 31, 2023, Commission File No.</w:t>
              </w:r>
            </w:hyperlink>
          </w:p>
        </w:tc>
        <w:tc>
          <w:tcPr>
            <w:tcW w:w="100" w:type="dxa"/>
            <w:vAlign w:val="bottom"/>
            <w:gridSpan w:val="5"/>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6"/>
              </w:rPr>
            </w:pPr>
            <w:hyperlink r:id="rId172">
              <w:r>
                <w:rPr>
                  <w:rFonts w:ascii="Times New Roman" w:cs="Times New Roman" w:eastAsia="Times New Roman" w:hAnsi="Times New Roman"/>
                  <w:sz w:val="14"/>
                  <w:szCs w:val="14"/>
                  <w:color w:val="0000FF"/>
                  <w:w w:val="96"/>
                </w:rPr>
                <w:t>1-8649).</w:t>
              </w:r>
            </w:hyperlink>
          </w:p>
        </w:tc>
        <w:tc>
          <w:tcPr>
            <w:tcW w:w="128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6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10.32</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Second Amendment to Credit and Security Agreement dated as of November 29, 2016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060" w:type="dxa"/>
            <w:vAlign w:val="bottom"/>
            <w:tcBorders>
              <w:top w:val="single" w:sz="8" w:color="0000FF"/>
            </w:tcBorders>
            <w:gridSpan w:val="27"/>
          </w:tcPr>
          <w:p>
            <w:pPr>
              <w:spacing w:after="0" w:line="115"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Finance, Inc. (incorporated by reference to Exhibit 10.1 to Registrant's Current Report on Form 8-K as filed with the Securities and Exchange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38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Commission on December 2, 2016, Commission File No. 1-8649).</w:t>
              </w:r>
            </w:hyperlink>
          </w:p>
        </w:tc>
        <w:tc>
          <w:tcPr>
            <w:tcW w:w="506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10.33</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Third Amendment to Credit and Security Agreement effective as of December 20, 2019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120" w:type="dxa"/>
            <w:vAlign w:val="bottom"/>
            <w:tcBorders>
              <w:top w:val="single" w:sz="8" w:color="0000FF"/>
            </w:tcBorders>
            <w:gridSpan w:val="30"/>
          </w:tcPr>
          <w:p>
            <w:pPr>
              <w:spacing w:after="0" w:line="115"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Finance, Inc. (incorporated by reference to Exhibit 10.1 to Registrant’s Quarterly Report on Form 10-Q for the fiscal quarter ended January 31, 2020,</w:t>
              </w:r>
            </w:hyperlink>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Commission File No. 1-8649).</w:t>
              </w:r>
            </w:hyperlink>
          </w:p>
        </w:tc>
        <w:tc>
          <w:tcPr>
            <w:tcW w:w="7240" w:type="dxa"/>
            <w:vAlign w:val="bottom"/>
            <w:tcBorders>
              <w:top w:val="single" w:sz="8" w:color="0000FF"/>
            </w:tcBorders>
            <w:gridSpan w:val="22"/>
          </w:tcPr>
          <w:p>
            <w:pPr>
              <w:spacing w:after="0"/>
              <w:rPr>
                <w:sz w:val="11"/>
                <w:szCs w:val="11"/>
                <w:color w:val="auto"/>
              </w:rPr>
            </w:pPr>
          </w:p>
        </w:tc>
        <w:tc>
          <w:tcPr>
            <w:tcW w:w="160" w:type="dxa"/>
            <w:vAlign w:val="bottom"/>
            <w:gridSpan w:val="8"/>
          </w:tcPr>
          <w:p>
            <w:pPr>
              <w:spacing w:after="0"/>
              <w:rPr>
                <w:sz w:val="11"/>
                <w:szCs w:val="11"/>
                <w:color w:val="auto"/>
              </w:rPr>
            </w:pPr>
          </w:p>
        </w:tc>
        <w:tc>
          <w:tcPr>
            <w:tcW w:w="160" w:type="dxa"/>
            <w:vAlign w:val="bottom"/>
            <w:gridSpan w:val="8"/>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10.34</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Fourth Amendment to Credit and Security Agreement effective as of November 1, 2021 by and between Red Iron Acceptance, LLC and TCF Inventory</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400" w:type="dxa"/>
            <w:vAlign w:val="bottom"/>
            <w:tcBorders>
              <w:top w:val="single" w:sz="8" w:color="0000FF"/>
            </w:tcBorders>
            <w:gridSpan w:val="44"/>
          </w:tcPr>
          <w:p>
            <w:pPr>
              <w:spacing w:after="0" w:line="115"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Finance, Inc. (incorporated by reference to Exhibit 10.24 to Registrant's Annual Report on Form 10-K for the fiscal year ended October 31, 2021,</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Commission File No. 1-8649).</w:t>
              </w:r>
            </w:hyperlink>
          </w:p>
        </w:tc>
        <w:tc>
          <w:tcPr>
            <w:tcW w:w="7400" w:type="dxa"/>
            <w:vAlign w:val="bottom"/>
            <w:tcBorders>
              <w:top w:val="single" w:sz="8" w:color="0000FF"/>
            </w:tcBorders>
            <w:gridSpan w:val="30"/>
          </w:tcPr>
          <w:p>
            <w:pPr>
              <w:spacing w:after="0"/>
              <w:rPr>
                <w:sz w:val="11"/>
                <w:szCs w:val="11"/>
                <w:color w:val="auto"/>
              </w:rPr>
            </w:pPr>
          </w:p>
        </w:tc>
        <w:tc>
          <w:tcPr>
            <w:tcW w:w="160" w:type="dxa"/>
            <w:vAlign w:val="bottom"/>
            <w:gridSpan w:val="8"/>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10.35</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Fifth Amendment to Credit and Security Agreement effective as of October 25, 2022 by and between Red Iron Acceptance, LLC and Huntington</w:t>
              </w:r>
            </w:hyperlink>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9320" w:type="dxa"/>
            <w:vAlign w:val="bottom"/>
            <w:tcBorders>
              <w:top w:val="single" w:sz="8" w:color="0000FF"/>
            </w:tcBorders>
            <w:gridSpan w:val="40"/>
          </w:tcPr>
          <w:p>
            <w:pPr>
              <w:spacing w:after="0" w:line="115"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Distribution Finance, Inc. (previously known as TCF Inventory Finance, Inc.) (incorporated by reference to Exhibit 10.35 to Registrant's Annual Report</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512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on Form 10-K for the fiscal year ended October 31, 2022, Commission File No. 1-8649).</w:t>
              </w:r>
            </w:hyperlink>
          </w:p>
        </w:tc>
        <w:tc>
          <w:tcPr>
            <w:tcW w:w="4260" w:type="dxa"/>
            <w:vAlign w:val="bottom"/>
            <w:tcBorders>
              <w:top w:val="single" w:sz="8" w:color="0000FF"/>
            </w:tcBorders>
            <w:gridSpan w:val="3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10.36</w:t>
            </w:r>
          </w:p>
        </w:tc>
        <w:tc>
          <w:tcPr>
            <w:tcW w:w="9460" w:type="dxa"/>
            <w:vAlign w:val="bottom"/>
            <w:gridSpan w:val="47"/>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Sixth Amendment to Credit and Security Agreement effective as of August 31, 2023 by and between Red Iron Acceptance, LLC and Huntington</w:t>
              </w:r>
            </w:hyperlink>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8920" w:type="dxa"/>
            <w:vAlign w:val="bottom"/>
            <w:tcBorders>
              <w:top w:val="single" w:sz="8" w:color="0000FF"/>
            </w:tcBorders>
            <w:gridSpan w:val="20"/>
          </w:tcPr>
          <w:p>
            <w:pPr>
              <w:spacing w:after="0" w:line="122" w:lineRule="exact"/>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Distribution Finance, Inc. (previously known as TCF Inventory Finance, Inc.) (incorporated by reference to Exhibit 10.39 to Registrant's Annual Report</w:t>
              </w:r>
            </w:hyperlink>
          </w:p>
        </w:tc>
        <w:tc>
          <w:tcPr>
            <w:tcW w:w="540" w:type="dxa"/>
            <w:vAlign w:val="bottom"/>
            <w:gridSpan w:val="27"/>
          </w:tcPr>
          <w:p>
            <w:pPr>
              <w:spacing w:after="0"/>
              <w:rPr>
                <w:sz w:val="10"/>
                <w:szCs w:val="10"/>
                <w:color w:val="auto"/>
              </w:rPr>
            </w:pPr>
          </w:p>
        </w:tc>
        <w:tc>
          <w:tcPr>
            <w:tcW w:w="0" w:type="dxa"/>
            <w:vAlign w:val="bottom"/>
          </w:tcPr>
          <w:p>
            <w:pPr>
              <w:spacing w:after="0"/>
              <w:rPr>
                <w:sz w:val="1"/>
                <w:szCs w:val="1"/>
                <w:color w:val="auto"/>
              </w:rPr>
            </w:pPr>
          </w:p>
        </w:tc>
      </w:tr>
    </w:tbl>
    <w:p>
      <w:pPr>
        <w:ind w:left="2340"/>
        <w:spacing w:after="0"/>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on Form 10-K for the fiscal year ended October 31, 2023, Commission File No. 1-8649).</w:t>
        </w:r>
      </w:hyperlink>
    </w:p>
    <w:p>
      <w:pPr>
        <w:spacing w:after="0" w:line="26" w:lineRule="exact"/>
        <w:rPr>
          <w:sz w:val="20"/>
          <w:szCs w:val="20"/>
          <w:color w:val="auto"/>
        </w:rPr>
      </w:pPr>
    </w:p>
    <w:p>
      <w:pPr>
        <w:ind w:left="2340" w:hanging="897"/>
        <w:spacing w:after="0"/>
        <w:tabs>
          <w:tab w:leader="none" w:pos="234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Insider Trading Policy (filed herewith).</w:t>
      </w:r>
    </w:p>
    <w:p>
      <w:pPr>
        <w:spacing w:after="0" w:line="42" w:lineRule="exact"/>
        <w:rPr>
          <w:sz w:val="20"/>
          <w:szCs w:val="20"/>
          <w:color w:val="auto"/>
        </w:rPr>
      </w:pPr>
    </w:p>
    <w:p>
      <w:pPr>
        <w:ind w:left="2340" w:hanging="897"/>
        <w:spacing w:after="0"/>
        <w:tabs>
          <w:tab w:leader="none" w:pos="234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Subsidiaries of Registrant (filed herewith).</w:t>
      </w:r>
    </w:p>
    <w:p>
      <w:pPr>
        <w:spacing w:after="0" w:line="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23.1</w:t>
            </w:r>
          </w:p>
        </w:tc>
        <w:tc>
          <w:tcPr>
            <w:tcW w:w="4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 (filed herewith).</w:t>
            </w:r>
          </w:p>
        </w:tc>
        <w:tc>
          <w:tcPr>
            <w:tcW w:w="3300" w:type="dxa"/>
            <w:vAlign w:val="bottom"/>
            <w:gridSpan w:val="2"/>
          </w:tcPr>
          <w:p>
            <w:pPr>
              <w:spacing w:after="0"/>
              <w:rPr>
                <w:sz w:val="13"/>
                <w:szCs w:val="13"/>
                <w:color w:val="auto"/>
              </w:rPr>
            </w:pPr>
          </w:p>
        </w:tc>
      </w:tr>
      <w:tr>
        <w:trPr>
          <w:trHeight w:val="183"/>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24.1</w:t>
            </w:r>
          </w:p>
        </w:tc>
        <w:tc>
          <w:tcPr>
            <w:tcW w:w="2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Power of Attorney (filed herewith).</w:t>
            </w:r>
          </w:p>
        </w:tc>
        <w:tc>
          <w:tcPr>
            <w:tcW w:w="5680" w:type="dxa"/>
            <w:vAlign w:val="bottom"/>
            <w:gridSpan w:val="3"/>
          </w:tcPr>
          <w:p>
            <w:pPr>
              <w:spacing w:after="0"/>
              <w:rPr>
                <w:sz w:val="15"/>
                <w:szCs w:val="15"/>
                <w:color w:val="auto"/>
              </w:rPr>
            </w:pPr>
          </w:p>
        </w:tc>
      </w:tr>
      <w:tr>
        <w:trPr>
          <w:trHeight w:val="183"/>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31.1</w:t>
            </w:r>
          </w:p>
        </w:tc>
        <w:tc>
          <w:tcPr>
            <w:tcW w:w="7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(Section 302 of the Sarbanes-Oxley Act of 2002) (filed herewith).</w:t>
            </w:r>
          </w:p>
        </w:tc>
      </w:tr>
      <w:tr>
        <w:trPr>
          <w:trHeight w:val="182"/>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w w:val="97"/>
              </w:rPr>
              <w:t>31.2</w:t>
            </w:r>
          </w:p>
        </w:tc>
        <w:tc>
          <w:tcPr>
            <w:tcW w:w="7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(Section 302 of the Sarbanes-Oxley Act of 2002) (filed herewith).</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340" w:right="20" w:hanging="897"/>
        <w:spacing w:after="0" w:line="241" w:lineRule="auto"/>
        <w:tabs>
          <w:tab w:leader="none" w:pos="234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0000FF"/>
        </w:rPr>
        <w:t>Certification of Chief Executive Officer and Chief Financial Officer Pursuant to 18 U.S.C. Section 1350, as Adopted Pursuant to Section 906 of the Sarbanes-Oxley Act of 2002 (furnished herewith).</w:t>
      </w:r>
    </w:p>
    <w:p>
      <w:pPr>
        <w:spacing w:after="0" w:line="14" w:lineRule="exact"/>
        <w:rPr>
          <w:sz w:val="20"/>
          <w:szCs w:val="20"/>
          <w:color w:val="auto"/>
        </w:rPr>
      </w:pPr>
    </w:p>
    <w:p>
      <w:pPr>
        <w:ind w:left="2340" w:hanging="897"/>
        <w:spacing w:after="0" w:line="241" w:lineRule="auto"/>
        <w:tabs>
          <w:tab w:leader="none" w:pos="2340" w:val="left"/>
        </w:tabs>
        <w:numPr>
          <w:ilvl w:val="0"/>
          <w:numId w:val="49"/>
        </w:numPr>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Clawback Policy (incorporated by reference to Exhibit 97 to Registrant's Annual Report on Form 10-K for the fiscal year ended October 31, 2023,</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Commission File No. 1-8649)*.</w:t>
        </w:r>
      </w:hyperlink>
    </w:p>
    <w:p>
      <w:pPr>
        <w:spacing w:after="0" w:line="14" w:lineRule="exact"/>
        <w:rPr>
          <w:rFonts w:ascii="Times New Roman" w:cs="Times New Roman" w:eastAsia="Times New Roman" w:hAnsi="Times New Roman"/>
          <w:sz w:val="14"/>
          <w:szCs w:val="14"/>
          <w:b w:val="1"/>
          <w:bCs w:val="1"/>
          <w:color w:val="auto"/>
        </w:rPr>
      </w:pPr>
    </w:p>
    <w:p>
      <w:pPr>
        <w:jc w:val="both"/>
        <w:ind w:left="2340" w:hanging="897"/>
        <w:spacing w:after="0" w:line="224" w:lineRule="auto"/>
        <w:tabs>
          <w:tab w:leader="none" w:pos="234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financial information from The Toro Company's Annual Report on Form 10-K for the fiscal year ended October 31, 2024, filed with the SEC on December 18, 2024, formatted in Inline eXtensible Business Reporting Language (Inline XBRL): (i) Consolidated Statements of Earnings for each of the fiscal years in the three-year period ended October 31, 2024, (ii) Consolidated Statements of Comprehensive Income for each of the fiscal years in the three-year period ended October 31, 2024, (iii) Consolidated Balance Sheets as of October 31, 2024 and 2023, (iv) Consolidated Statements of Cash Flows for each of the fiscal years in the three-year period ended October 31, 2024, (v) Consolidated Statements of Stockholders' Equity each of the fiscal years in the three-year period ended October 31, 2024, and (vi) Notes to Consolidated Financial Statements (filed herewith).</w:t>
      </w:r>
    </w:p>
    <w:p>
      <w:pPr>
        <w:spacing w:after="0" w:line="16" w:lineRule="exact"/>
        <w:rPr>
          <w:rFonts w:ascii="Times New Roman" w:cs="Times New Roman" w:eastAsia="Times New Roman" w:hAnsi="Times New Roman"/>
          <w:sz w:val="14"/>
          <w:szCs w:val="14"/>
          <w:b w:val="1"/>
          <w:bCs w:val="1"/>
          <w:color w:val="auto"/>
        </w:rPr>
      </w:pPr>
    </w:p>
    <w:p>
      <w:pPr>
        <w:ind w:left="2340" w:hanging="897"/>
        <w:spacing w:after="0"/>
        <w:tabs>
          <w:tab w:leader="none" w:pos="2340" w:val="left"/>
        </w:tabs>
        <w:numPr>
          <w:ilvl w:val="1"/>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17" w:lineRule="exact"/>
        <w:rPr>
          <w:rFonts w:ascii="Times New Roman" w:cs="Times New Roman" w:eastAsia="Times New Roman" w:hAnsi="Times New Roman"/>
          <w:sz w:val="14"/>
          <w:szCs w:val="14"/>
          <w:b w:val="1"/>
          <w:bCs w:val="1"/>
          <w:color w:val="auto"/>
        </w:rPr>
      </w:pPr>
    </w:p>
    <w:p>
      <w:pPr>
        <w:ind w:left="980" w:right="3620"/>
        <w:spacing w:after="0" w:line="422" w:lineRule="auto"/>
        <w:tabs>
          <w:tab w:leader="none" w:pos="118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portions of this exhibit have been redacted in compliance with Item 601(b)(10) of Regulation S-K. * Management contract or compensatory plan or arrangement.</w:t>
      </w:r>
    </w:p>
    <w:p>
      <w:pPr>
        <w:spacing w:after="0" w:line="1" w:lineRule="exact"/>
        <w:rPr>
          <w:rFonts w:ascii="Times New Roman" w:cs="Times New Roman" w:eastAsia="Times New Roman" w:hAnsi="Times New Roman"/>
          <w:sz w:val="14"/>
          <w:szCs w:val="14"/>
          <w:b w:val="1"/>
          <w:bCs w:val="1"/>
          <w:color w:val="auto"/>
        </w:rPr>
      </w:pPr>
    </w:p>
    <w:p>
      <w:pPr>
        <w:ind w:left="1300" w:right="140" w:hanging="320"/>
        <w:spacing w:after="0" w:line="302" w:lineRule="auto"/>
        <w:tabs>
          <w:tab w:leader="none" w:pos="130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66"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17"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17" w:lineRule="exact"/>
        <w:rPr>
          <w:rFonts w:ascii="Times New Roman" w:cs="Times New Roman" w:eastAsia="Times New Roman" w:hAnsi="Times New Roman"/>
          <w:sz w:val="14"/>
          <w:szCs w:val="14"/>
          <w:b w:val="1"/>
          <w:bCs w:val="1"/>
          <w:color w:val="auto"/>
        </w:rPr>
      </w:pPr>
    </w:p>
    <w:p>
      <w:pPr>
        <w:ind w:right="8760" w:firstLine="8"/>
        <w:spacing w:after="0" w:line="375"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1"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ITEM 16. FORM 10-K SUMMARY</w:t>
      </w:r>
    </w:p>
    <w:p>
      <w:pPr>
        <w:spacing w:after="0" w:line="27"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2" w:lineRule="exact"/>
        <w:rPr>
          <w:rFonts w:ascii="Times New Roman" w:cs="Times New Roman" w:eastAsia="Times New Roman" w:hAnsi="Times New Roman"/>
          <w:sz w:val="14"/>
          <w:szCs w:val="14"/>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20"/>
        <w:spacing w:after="0"/>
        <w:tabs>
          <w:tab w:leader="none" w:pos="64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C. Drake</w:t>
      </w:r>
      <w:r>
        <w:rPr>
          <w:sz w:val="20"/>
          <w:szCs w:val="20"/>
          <w:color w:val="auto"/>
        </w:rPr>
        <w:tab/>
      </w:r>
      <w:r>
        <w:rPr>
          <w:rFonts w:ascii="Times New Roman" w:cs="Times New Roman" w:eastAsia="Times New Roman" w:hAnsi="Times New Roman"/>
          <w:sz w:val="17"/>
          <w:szCs w:val="17"/>
          <w:color w:val="auto"/>
        </w:rPr>
        <w:t>Dated: 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Angela C. Drake</w:t>
      </w:r>
    </w:p>
    <w:p>
      <w:pPr>
        <w:ind w:left="660"/>
        <w:spacing w:after="0" w:line="219" w:lineRule="auto"/>
        <w:rPr>
          <w:sz w:val="20"/>
          <w:szCs w:val="20"/>
          <w:color w:val="auto"/>
        </w:rPr>
      </w:pPr>
      <w:r>
        <w:rPr>
          <w:rFonts w:ascii="Times New Roman" w:cs="Times New Roman" w:eastAsia="Times New Roman" w:hAnsi="Times New Roman"/>
          <w:sz w:val="18"/>
          <w:szCs w:val="18"/>
          <w:color w:val="auto"/>
        </w:rPr>
        <w:t>Vice President, Chief Financial Officer</w:t>
      </w: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2500" w:val="left"/>
          <w:tab w:leader="none" w:pos="89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right"/>
        <w:ind w:left="20" w:right="260"/>
        <w:spacing w:after="0" w:line="329" w:lineRule="auto"/>
        <w:rPr>
          <w:sz w:val="20"/>
          <w:szCs w:val="20"/>
          <w:color w:val="auto"/>
        </w:rPr>
      </w:pPr>
      <w:r>
        <w:rPr>
          <w:rFonts w:ascii="Times New Roman" w:cs="Times New Roman" w:eastAsia="Times New Roman" w:hAnsi="Times New Roman"/>
          <w:sz w:val="18"/>
          <w:szCs w:val="18"/>
          <w:color w:val="auto"/>
        </w:rPr>
        <w:t>/s/ Richard M. Olson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517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74" w:lineRule="exact"/>
        <w:rPr>
          <w:sz w:val="20"/>
          <w:szCs w:val="20"/>
          <w:color w:val="auto"/>
        </w:rPr>
      </w:pPr>
    </w:p>
    <w:p>
      <w:pPr>
        <w:jc w:val="right"/>
        <w:ind w:left="20" w:right="340"/>
        <w:spacing w:after="0" w:line="329" w:lineRule="auto"/>
        <w:rPr>
          <w:sz w:val="20"/>
          <w:szCs w:val="20"/>
          <w:color w:val="auto"/>
        </w:rPr>
      </w:pPr>
      <w:r>
        <w:rPr>
          <w:rFonts w:ascii="Times New Roman" w:cs="Times New Roman" w:eastAsia="Times New Roman" w:hAnsi="Times New Roman"/>
          <w:sz w:val="18"/>
          <w:szCs w:val="18"/>
          <w:color w:val="auto"/>
        </w:rPr>
        <w:t>/s/ Angela C. Drake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517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Dianne C. Craig</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Gary L. Ellis</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Eric P. Hansotia</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Jeffrey L. Harmening</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 Christian Koch</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Joyce A. Mullen</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James C. O'Rourke</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Jill M. Pemberton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 and Director (principal December 18, 2024 executive officer), *Attorney-in-Fact</w:t>
      </w:r>
    </w:p>
    <w:p>
      <w:pPr>
        <w:spacing w:after="0" w:line="241"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Vice President, Chief Financial Officer (principal financial and accounting officer),</w:t>
      </w:r>
      <w:r>
        <w:rPr>
          <w:sz w:val="20"/>
          <w:szCs w:val="20"/>
          <w:color w:val="auto"/>
        </w:rPr>
        <w:tab/>
      </w:r>
      <w:r>
        <w:rPr>
          <w:rFonts w:ascii="Times New Roman" w:cs="Times New Roman" w:eastAsia="Times New Roman" w:hAnsi="Times New Roman"/>
          <w:sz w:val="18"/>
          <w:szCs w:val="18"/>
          <w:color w:val="auto"/>
        </w:rPr>
        <w:t>December 18, 2024</w:t>
      </w: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42" w:lineRule="exact"/>
        <w:rPr>
          <w:sz w:val="20"/>
          <w:szCs w:val="20"/>
          <w:color w:val="auto"/>
        </w:rPr>
      </w:pPr>
    </w:p>
    <w:p>
      <w:pPr>
        <w:sectPr>
          <w:pgSz w:w="11900" w:h="16838" w:orient="portrait"/>
          <w:cols w:equalWidth="0" w:num="2">
            <w:col w:w="1800" w:space="720"/>
            <w:col w:w="8720"/>
          </w:cols>
          <w:pgMar w:left="320" w:top="121" w:right="339"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1"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Legal Department</w:t>
      </w: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Policy:</w:t>
      </w:r>
      <w:r>
        <w:rPr>
          <w:sz w:val="20"/>
          <w:szCs w:val="20"/>
          <w:color w:val="auto"/>
        </w:rPr>
        <w:tab/>
      </w:r>
      <w:r>
        <w:rPr>
          <w:rFonts w:ascii="Times New Roman" w:cs="Times New Roman" w:eastAsia="Times New Roman" w:hAnsi="Times New Roman"/>
          <w:sz w:val="22"/>
          <w:szCs w:val="22"/>
          <w:color w:val="auto"/>
        </w:rPr>
        <w:t>Insider Trading Policy</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b w:val="1"/>
          <w:bCs w:val="1"/>
          <w:color w:val="auto"/>
        </w:rPr>
        <w:t>For:</w:t>
      </w:r>
      <w:r>
        <w:rPr>
          <w:sz w:val="20"/>
          <w:szCs w:val="20"/>
          <w:color w:val="auto"/>
        </w:rPr>
        <w:tab/>
      </w:r>
      <w:r>
        <w:rPr>
          <w:rFonts w:ascii="Times New Roman" w:cs="Times New Roman" w:eastAsia="Times New Roman" w:hAnsi="Times New Roman"/>
          <w:sz w:val="22"/>
          <w:szCs w:val="22"/>
          <w:color w:val="auto"/>
        </w:rPr>
        <w:t>All Employees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6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Federal and state securities laws provide for civil and criminal penalties against a person who trades while in possession of material non-public information (or tips such information to another person who then trades) and realizes a profit (or avoids a loss) in the securities. This is known as “insider trading.” Penalties may also apply to The Toro Company (“TTC”, "the company") in the event TTC is unable to show it has taken appropriate steps to prevent insider trading in TTC securities. Therefore, TTC has adopted this Insider Trading Policy (the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Policy applies to:</w:t>
      </w:r>
    </w:p>
    <w:p>
      <w:pPr>
        <w:spacing w:after="0" w:line="148"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members of TTC’s Board of Directors (each, a “Director”),</w:t>
      </w:r>
    </w:p>
    <w:p>
      <w:pPr>
        <w:spacing w:after="0" w:line="2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officers of TTC (each, an “Officer”),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 employees of TTC,</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identified consultants or contractors who have access to material non-public information regarding TTC, and</w:t>
      </w:r>
    </w:p>
    <w:p>
      <w:pPr>
        <w:spacing w:after="0" w:line="6" w:lineRule="exact"/>
        <w:rPr>
          <w:rFonts w:ascii="Times New Roman" w:cs="Times New Roman" w:eastAsia="Times New Roman" w:hAnsi="Times New Roman"/>
          <w:sz w:val="20"/>
          <w:szCs w:val="20"/>
          <w:color w:val="auto"/>
        </w:rPr>
      </w:pPr>
    </w:p>
    <w:p>
      <w:pPr>
        <w:ind w:left="660" w:right="300" w:hanging="328"/>
        <w:spacing w:after="0" w:line="268" w:lineRule="auto"/>
        <w:tabs>
          <w:tab w:leader="none" w:pos="64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any immediate family member of a person covered by this Policy (i.e., the person's spouse, parents, stepparents, grandparents, children, stepchildren, grandchildren, siblings, mothers- or fathers-in-law, sons or daughters-in-law, brothers- or sisters-in-law that share the person’s home, including a child away at college) and other members of their household, their economic dependents, and any person whose transactions in TTC securities are directed, influenced or controlled by a person subject to this Policy, or any trusts or other entities under such person’s control (“related parties”).</w:t>
      </w:r>
    </w:p>
    <w:p>
      <w:pPr>
        <w:spacing w:after="0" w:line="19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color w:val="auto"/>
        </w:rPr>
        <w:t>It is the policy of TTC that no Director, Officer, or employee of TTC or their related parties (or any other person designated by this Policy as subject to this Policy) who is aware of material non-public information relating to TTC may, directly, or indirectly through family members or other persons or entities, engage in transactions in TTC securities, nor engage in any other action to take advantage of, or pass on to others, such information.</w:t>
      </w:r>
    </w:p>
    <w:p>
      <w:pPr>
        <w:spacing w:after="0" w:line="10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b w:val="1"/>
          <w:bCs w:val="1"/>
          <w:color w:val="auto"/>
        </w:rPr>
        <w:t>Each Director, Officer and employee of TTC is responsible for the transactions of their related parties, and therefore, the related parties should be made aware of the need to confer with the TTC Director, Officer or employee before trading in TTC securities. For the purposes of this Policy and applicable securities laws, such transactions should be treated as if the transactions were for the TTC Director’s, Officer’s or employee’s account. This Policy does not, however, apply to personal securities transactions of related parties where the purchase or sale decision is made by a third party not controlled by, influenced by or related to the Director, Officer and employee of TTC or their related parties.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Directors, Officers and certain other TTC employees or others designated by TTC’s General Counsel (collectively, the “Restricted Persons”) are also subject to additional requirements reflected in the Addendum hereto.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Toro Company reserves the right to amend or rescind this policy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at any time with or without written notice to employees.</w:t>
      </w:r>
    </w:p>
    <w:p>
      <w:pPr>
        <w:sectPr>
          <w:pgSz w:w="11900" w:h="16838" w:orient="portrait"/>
          <w:cols w:equalWidth="0" w:num="1">
            <w:col w:w="11240"/>
          </w:cols>
          <w:pgMar w:left="320" w:top="130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43" w:lineRule="exact"/>
        <w:rPr>
          <w:sz w:val="20"/>
          <w:szCs w:val="20"/>
          <w:color w:val="auto"/>
        </w:rPr>
      </w:pPr>
    </w:p>
    <w:p>
      <w:pPr>
        <w:ind w:left="740" w:right="60" w:hanging="318"/>
        <w:spacing w:after="0" w:line="254" w:lineRule="auto"/>
        <w:tabs>
          <w:tab w:leader="none" w:pos="73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What is “material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is material if a reasonable investor would consider that information important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making a decision to buy, sell, or hold TTC securities (or securities of any other company with whom TTC does business), or would view that information as significantly altering the total mix of information available in the marketplace. As a general rule, any information, whether positive or negative, that would affect the value of stock (or such other securities) should be considered material. Materiality generally depends on the particular facts and circumstances, and is determined from the perspective of a “reasonable investor” – not the actual recipient. While there is no bright-line standard or list of items that can define materiality in all cases, items that are usually considered material include:</w:t>
      </w:r>
    </w:p>
    <w:p>
      <w:pPr>
        <w:spacing w:after="0" w:line="217" w:lineRule="exact"/>
        <w:rPr>
          <w:rFonts w:ascii="Times New Roman" w:cs="Times New Roman" w:eastAsia="Times New Roman" w:hAnsi="Times New Roman"/>
          <w:sz w:val="20"/>
          <w:szCs w:val="20"/>
          <w:color w:val="auto"/>
        </w:rPr>
      </w:pPr>
    </w:p>
    <w:p>
      <w:pPr>
        <w:ind w:left="1720" w:right="760" w:hanging="326"/>
        <w:spacing w:after="0" w:line="254"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performance, especially quarterly and year-end earnings and revenues, and changes in a company’s financial projections or guidance;</w:t>
      </w:r>
    </w:p>
    <w:p>
      <w:pPr>
        <w:spacing w:after="0" w:line="1"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financing transactions out of the ordinary course;</w:t>
      </w:r>
    </w:p>
    <w:p>
      <w:pPr>
        <w:spacing w:after="0" w:line="6" w:lineRule="exact"/>
        <w:rPr>
          <w:rFonts w:ascii="Times New Roman" w:cs="Times New Roman" w:eastAsia="Times New Roman" w:hAnsi="Times New Roman"/>
          <w:sz w:val="20"/>
          <w:szCs w:val="20"/>
          <w:color w:val="auto"/>
        </w:rPr>
      </w:pPr>
    </w:p>
    <w:p>
      <w:pPr>
        <w:ind w:left="1720" w:right="1340" w:hanging="326"/>
        <w:spacing w:after="0" w:line="246"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potential or proposed joint venture, merger, significant business acquisition or divestiture, or tender offer;</w:t>
      </w:r>
    </w:p>
    <w:p>
      <w:pPr>
        <w:spacing w:after="0" w:line="1"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restructuring;</w:t>
      </w:r>
    </w:p>
    <w:p>
      <w:pPr>
        <w:spacing w:after="0" w:line="6"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or loss of a significant customer, supplier, distributor or contract;</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disruptions and/or shortages in key commodities, components, parts or accessories;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litigation, or the resolution of such litigation;</w:t>
      </w:r>
    </w:p>
    <w:p>
      <w:pPr>
        <w:spacing w:after="0" w:line="6" w:lineRule="exact"/>
        <w:rPr>
          <w:rFonts w:ascii="Times New Roman" w:cs="Times New Roman" w:eastAsia="Times New Roman" w:hAnsi="Times New Roman"/>
          <w:sz w:val="20"/>
          <w:szCs w:val="20"/>
          <w:color w:val="auto"/>
        </w:rPr>
      </w:pPr>
    </w:p>
    <w:p>
      <w:pPr>
        <w:ind w:left="1720" w:hanging="327"/>
        <w:spacing w:after="0" w:line="248" w:lineRule="auto"/>
        <w:tabs>
          <w:tab w:leader="none" w:pos="170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TTC securities, including pending or contemplated public or private sales of debt or equity securities, adoption of stock repurchase programs or redemptions of securities, stock splits or increases or decreases in dividends;</w:t>
      </w:r>
    </w:p>
    <w:p>
      <w:pPr>
        <w:spacing w:after="0" w:line="2"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significant write-offs, restructuring charges or asset impairments;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company’s auditors or notification that the auditor’s reports may no longer be relied upon;</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receivership, or the existence of other severe liquidity problems;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or acceleration of a material obligation;</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a rating agency decision or issuance of a credit watch;</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TTC’s pricing or cost structure;</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management;</w:t>
      </w:r>
    </w:p>
    <w:p>
      <w:pPr>
        <w:spacing w:after="0" w:line="6"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process or service;</w:t>
      </w:r>
    </w:p>
    <w:p>
      <w:pPr>
        <w:spacing w:after="0" w:line="13" w:lineRule="exact"/>
        <w:rPr>
          <w:rFonts w:ascii="Times New Roman" w:cs="Times New Roman" w:eastAsia="Times New Roman" w:hAnsi="Times New Roman"/>
          <w:sz w:val="20"/>
          <w:szCs w:val="20"/>
          <w:color w:val="auto"/>
        </w:rPr>
      </w:pP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defects or recalls;</w:t>
      </w:r>
    </w:p>
    <w:p>
      <w:pPr>
        <w:spacing w:after="0" w:line="6" w:lineRule="exact"/>
        <w:rPr>
          <w:rFonts w:ascii="Times New Roman" w:cs="Times New Roman" w:eastAsia="Times New Roman" w:hAnsi="Times New Roman"/>
          <w:sz w:val="20"/>
          <w:szCs w:val="20"/>
          <w:color w:val="auto"/>
        </w:rPr>
      </w:pPr>
    </w:p>
    <w:p>
      <w:pPr>
        <w:ind w:left="1720" w:right="160" w:hanging="326"/>
        <w:spacing w:after="0" w:line="246"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in TTC’s operations or loss, potential loss, breach or unauthorized access of its property or assets, whether at its facilities or through its information technology infrastructure;</w:t>
      </w:r>
    </w:p>
    <w:p>
      <w:pPr>
        <w:spacing w:after="0" w:line="1" w:lineRule="exact"/>
        <w:rPr>
          <w:rFonts w:ascii="Times New Roman" w:cs="Times New Roman" w:eastAsia="Times New Roman" w:hAnsi="Times New Roman"/>
          <w:sz w:val="20"/>
          <w:szCs w:val="20"/>
          <w:color w:val="auto"/>
        </w:rPr>
      </w:pPr>
    </w:p>
    <w:p>
      <w:pPr>
        <w:ind w:left="1720" w:hanging="326"/>
        <w:spacing w:after="0" w:line="250" w:lineRule="auto"/>
        <w:tabs>
          <w:tab w:leader="none" w:pos="170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 event-specific restriction on trading in TTC securities or the securities of another company or the extension or termination of such restriction; or</w:t>
      </w:r>
    </w:p>
    <w:p>
      <w:pPr>
        <w:ind w:left="1700" w:hanging="307"/>
        <w:spacing w:after="0"/>
        <w:tabs>
          <w:tab w:leader="none" w:pos="17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Delisting of TTC’s securities from an exchange.</w:t>
      </w:r>
    </w:p>
    <w:p>
      <w:pPr>
        <w:spacing w:after="0" w:line="23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above list is illustrative only, and other types of information may be considered “material” depending on the circumstances. Because transactions in securities that receive scrutiny are evaluated</w:t>
      </w:r>
    </w:p>
    <w:p>
      <w:pPr>
        <w:sectPr>
          <w:pgSz w:w="11900" w:h="16838" w:orient="portrait"/>
          <w:cols w:equalWidth="0" w:num="1">
            <w:col w:w="11100"/>
          </w:cols>
          <w:pgMar w:left="320" w:top="1409" w:right="479" w:bottom="1440" w:gutter="0" w:footer="0" w:header="0"/>
        </w:sectPr>
      </w:pPr>
    </w:p>
    <w:bookmarkStart w:id="105" w:name="page106"/>
    <w:bookmarkEnd w:id="105"/>
    <w:p>
      <w:pPr>
        <w:ind w:right="240"/>
        <w:spacing w:after="0" w:line="269" w:lineRule="auto"/>
        <w:rPr>
          <w:sz w:val="20"/>
          <w:szCs w:val="20"/>
          <w:color w:val="auto"/>
        </w:rPr>
      </w:pPr>
      <w:r>
        <w:rPr>
          <w:rFonts w:ascii="Times New Roman" w:cs="Times New Roman" w:eastAsia="Times New Roman" w:hAnsi="Times New Roman"/>
          <w:sz w:val="20"/>
          <w:szCs w:val="20"/>
          <w:color w:val="auto"/>
        </w:rPr>
        <w:t>after the fact with the benefit of hindsight, questions concerning the materiality of particular information should be resolved in favor of a determination of materiality and trading should be avoided.</w:t>
      </w:r>
    </w:p>
    <w:p>
      <w:pPr>
        <w:spacing w:after="0" w:line="196" w:lineRule="exact"/>
        <w:rPr>
          <w:sz w:val="20"/>
          <w:szCs w:val="20"/>
          <w:color w:val="auto"/>
        </w:rPr>
      </w:pPr>
    </w:p>
    <w:p>
      <w:pPr>
        <w:ind w:left="740" w:hanging="318"/>
        <w:spacing w:after="0" w:line="265" w:lineRule="auto"/>
        <w:tabs>
          <w:tab w:leader="none" w:pos="73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What is “non-public information”?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is non-public if it has not been made generally available to the public by means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press release, filing with the Securities and Exchange Commission (the “SEC”), publication in a widely-available newspaper, magazine or news website, disclosure on the company’s website or through a social media platform, webcast or other oral disclosure that was previously announced and open to the public, or other means of widespread distribution. Information would likely not be considered widely disseminated if it is available only to a company’s employees, or if it is only available to a select group of analysts, brokers and institutional investors. Information that is received under circumstances that indicate the information is not yet in general circulation should be assumed to be non-public. Information is not considered to be adequately known to the public immediately upon public disclosure, but is deemed to be public information only after there is adequate time for the news to be circulated and absorbed by the market and investors. As a general rule, TTC considers information non-public until the start of trading on the third business day after public disclosure (with the day of such disclosure counted as the first day).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Restrictions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procedures apply to all persons and related parties covered under this Policy.</w:t>
      </w:r>
    </w:p>
    <w:p>
      <w:pPr>
        <w:spacing w:after="0" w:line="252" w:lineRule="exact"/>
        <w:rPr>
          <w:sz w:val="20"/>
          <w:szCs w:val="20"/>
          <w:color w:val="auto"/>
        </w:rPr>
      </w:pPr>
    </w:p>
    <w:p>
      <w:pPr>
        <w:ind w:left="740" w:right="100" w:hanging="318"/>
        <w:spacing w:after="0" w:line="254" w:lineRule="auto"/>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Do not engage in transactions in TTC securities when you are aware of material non- public information</w:t>
      </w:r>
      <w:r>
        <w:rPr>
          <w:rFonts w:ascii="Times New Roman" w:cs="Times New Roman" w:eastAsia="Times New Roman" w:hAnsi="Times New Roman"/>
          <w:sz w:val="20"/>
          <w:szCs w:val="20"/>
          <w:color w:val="auto"/>
        </w:rPr>
        <w:t>. You may not engage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transaction in TTC securities when you are aware of material non-public information regarding TTC, including any purchase or sale or offer to purchase or sell TTC securities or any disposition in the form of a gift of any TTC securities. In addition, you may not engage in any other action to take advantage of, or pass on to others, such information. This prohibition applies to both private transactions as well as transactions that are made on the New York Stock Exchange.</w:t>
      </w:r>
    </w:p>
    <w:p>
      <w:pPr>
        <w:spacing w:after="0" w:line="214" w:lineRule="exact"/>
        <w:rPr>
          <w:rFonts w:ascii="Times New Roman" w:cs="Times New Roman" w:eastAsia="Times New Roman" w:hAnsi="Times New Roman"/>
          <w:sz w:val="20"/>
          <w:szCs w:val="20"/>
          <w:color w:val="auto"/>
        </w:rPr>
      </w:pPr>
    </w:p>
    <w:p>
      <w:pPr>
        <w:ind w:left="740" w:right="180" w:hanging="318"/>
        <w:spacing w:after="0" w:line="252" w:lineRule="auto"/>
        <w:tabs>
          <w:tab w:leader="none" w:pos="7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Do not “tip” information to others.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 is illegal for a person when he or she is aware of material non-public information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 others with such information or to recommend that they buy or sell securities, even if the person does not give the other person the specific information. Such “tipping” can result in punishment of both the “tipper” and “tippee,” whether or not the tipper derived any benefit from the tippee’s actions. Accordingly, do not share non-public information about TTC (or companies with whom TTC does business) with anyone outside of TTC (except TTC’s legal counsel, accountants, or other advisors, as appropriate), regardless of whether you think such information is material. In addition, do not share any such information with other TTC employees, except as required in the performance of your duties or services to TTC. Finally, do not recommend to others the purchase or sale of TTC securities when you are aware of material non-public information.</w:t>
      </w:r>
    </w:p>
    <w:p>
      <w:pPr>
        <w:spacing w:after="0" w:line="214" w:lineRule="exact"/>
        <w:rPr>
          <w:rFonts w:ascii="Times New Roman" w:cs="Times New Roman" w:eastAsia="Times New Roman" w:hAnsi="Times New Roman"/>
          <w:sz w:val="20"/>
          <w:szCs w:val="20"/>
          <w:color w:val="auto"/>
        </w:rPr>
      </w:pPr>
    </w:p>
    <w:p>
      <w:pPr>
        <w:jc w:val="both"/>
        <w:ind w:left="740" w:right="780" w:hanging="318"/>
        <w:spacing w:after="0" w:line="283" w:lineRule="auto"/>
        <w:tabs>
          <w:tab w:leader="none" w:pos="73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TTC plans</w:t>
      </w:r>
      <w:r>
        <w:rPr>
          <w:rFonts w:ascii="Times New Roman" w:cs="Times New Roman" w:eastAsia="Times New Roman" w:hAnsi="Times New Roman"/>
          <w:sz w:val="19"/>
          <w:szCs w:val="19"/>
          <w:color w:val="auto"/>
        </w:rPr>
        <w:t>. This Policy applies to transactions under TTC plans such as The Toro Company Retirement Plan (commonly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referred to as the “401(k) plan” or referred to herein as the “TTC Retirement Plan”), including the transactions identified below. Restricted Persons are subject to additional restrictions reflected in the Addendum to this Policy.</w:t>
      </w:r>
    </w:p>
    <w:p>
      <w:pPr>
        <w:spacing w:after="0" w:line="185" w:lineRule="exact"/>
        <w:rPr>
          <w:rFonts w:ascii="Times New Roman" w:cs="Times New Roman" w:eastAsia="Times New Roman" w:hAnsi="Times New Roman"/>
          <w:sz w:val="19"/>
          <w:szCs w:val="19"/>
          <w:color w:val="auto"/>
        </w:rPr>
      </w:pPr>
    </w:p>
    <w:p>
      <w:pPr>
        <w:ind w:left="1720" w:right="120" w:hanging="326"/>
        <w:spacing w:after="0" w:line="263" w:lineRule="auto"/>
        <w:tabs>
          <w:tab w:leader="none" w:pos="170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TTC Retirement Plan transactions: </w:t>
      </w:r>
      <w:r>
        <w:rPr>
          <w:rFonts w:ascii="Times New Roman" w:cs="Times New Roman" w:eastAsia="Times New Roman" w:hAnsi="Times New Roman"/>
          <w:sz w:val="20"/>
          <w:szCs w:val="20"/>
          <w:color w:val="auto"/>
        </w:rPr>
        <w:t>This Policy applies to certain elections you may make under the TTC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and similar TTC plans involving TTC common stock, including elections to (1) change the percentage of your periodic contributions that will be allocated to the TTC common stock fund or (2) make a</w:t>
      </w:r>
    </w:p>
    <w:p>
      <w:pPr>
        <w:sectPr>
          <w:pgSz w:w="11900" w:h="16838" w:orient="portrait"/>
          <w:cols w:equalWidth="0" w:num="1">
            <w:col w:w="11080"/>
          </w:cols>
          <w:pgMar w:left="320" w:top="1170" w:right="499" w:bottom="1440" w:gutter="0" w:footer="0" w:header="0"/>
        </w:sectPr>
      </w:pPr>
    </w:p>
    <w:bookmarkStart w:id="106" w:name="page107"/>
    <w:bookmarkEnd w:id="106"/>
    <w:p>
      <w:pPr>
        <w:ind w:left="1298"/>
        <w:spacing w:after="0" w:line="258" w:lineRule="auto"/>
        <w:rPr>
          <w:sz w:val="20"/>
          <w:szCs w:val="20"/>
          <w:color w:val="auto"/>
        </w:rPr>
      </w:pPr>
      <w:r>
        <w:rPr>
          <w:rFonts w:ascii="Times New Roman" w:cs="Times New Roman" w:eastAsia="Times New Roman" w:hAnsi="Times New Roman"/>
          <w:sz w:val="20"/>
          <w:szCs w:val="20"/>
          <w:color w:val="auto"/>
        </w:rPr>
        <w:t>transfer of an existing account balance to or from the TTC common stock fund. However, the regular purchase of TTC securities through your participation in the TTC Retirement Plan is not subject to this Policy, provided the purchase results from your periodic plan contributions using the payroll deduction election that was made when you were not aware of material non-public information.</w:t>
      </w:r>
    </w:p>
    <w:p>
      <w:pPr>
        <w:spacing w:after="0" w:line="195" w:lineRule="exact"/>
        <w:rPr>
          <w:sz w:val="20"/>
          <w:szCs w:val="20"/>
          <w:color w:val="auto"/>
        </w:rPr>
      </w:pPr>
    </w:p>
    <w:p>
      <w:pPr>
        <w:ind w:left="1298" w:right="60" w:hanging="326"/>
        <w:spacing w:after="0" w:line="252" w:lineRule="auto"/>
        <w:tabs>
          <w:tab w:leader="none" w:pos="128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option exercises that involve open market sales of TTC securities</w:t>
      </w:r>
      <w:r>
        <w:rPr>
          <w:rFonts w:ascii="Times New Roman" w:cs="Times New Roman" w:eastAsia="Times New Roman" w:hAnsi="Times New Roman"/>
          <w:sz w:val="20"/>
          <w:szCs w:val="20"/>
          <w:color w:val="auto"/>
        </w:rPr>
        <w:t>: A broker-assisted cashless exercise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options, pursuant to which you have directed your broker to sell in the open market a sufficient number of the underlying shares of TTC common stock to pay the exercise price of the option and/or satisfy your related tax withholding obligations, is subject to this Policy. In addition, open market sales of shares of TTC common stock received upon the exercise of TTC stock options are subject to this Policy. However, a cash exercise of TTC stock options and a cashless “net exercise” of TTC stock options, pursuant to which you have elected to have TTC withhold a sufficient number of the underlying shares of TTC common stock to pay the exercise price of the option and/or satisfy your related tax withholding obligations, is not subject to this Policy.</w:t>
      </w:r>
    </w:p>
    <w:p>
      <w:pPr>
        <w:spacing w:after="0" w:line="214" w:lineRule="exact"/>
        <w:rPr>
          <w:rFonts w:ascii="Times New Roman" w:cs="Times New Roman" w:eastAsia="Times New Roman" w:hAnsi="Times New Roman"/>
          <w:sz w:val="20"/>
          <w:szCs w:val="20"/>
          <w:color w:val="auto"/>
        </w:rPr>
      </w:pPr>
    </w:p>
    <w:p>
      <w:pPr>
        <w:ind w:left="1298" w:right="160" w:hanging="326"/>
        <w:spacing w:after="0" w:line="252" w:lineRule="auto"/>
        <w:tabs>
          <w:tab w:leader="none" w:pos="128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Sale of stock after the vesting of awards issued under TTC plans or for purposes of satisfying related tax withholding obligations in connection with such vesting: </w:t>
      </w:r>
      <w:r>
        <w:rPr>
          <w:rFonts w:ascii="Times New Roman" w:cs="Times New Roman" w:eastAsia="Times New Roman" w:hAnsi="Times New Roman"/>
          <w:sz w:val="20"/>
          <w:szCs w:val="20"/>
          <w:color w:val="auto"/>
        </w:rPr>
        <w:t>While the vesting of restricted stock, restricted stock units,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share awards is not subject to this Policy, provided such vesting is pursuant to the vesting schedule determined at the time of grant, the sale of TTC common stock received upon vesting is subject to this Policy. In addition, the exercise of a tax withholding right, pursuant to which you elect to have TTC withhold some of the underlying shares of TTC common stock to satisfy tax withholding requirements upon vesting of such awards, is not subject to this Policy; however, the sale of TTC common stock by you in the open market or otherwise to cover tax withholding obligations is subject to this Policy.</w:t>
      </w:r>
    </w:p>
    <w:p>
      <w:pPr>
        <w:spacing w:after="0" w:line="214" w:lineRule="exact"/>
        <w:rPr>
          <w:rFonts w:ascii="Times New Roman" w:cs="Times New Roman" w:eastAsia="Times New Roman" w:hAnsi="Times New Roman"/>
          <w:sz w:val="20"/>
          <w:szCs w:val="20"/>
          <w:color w:val="auto"/>
        </w:rPr>
      </w:pPr>
    </w:p>
    <w:p>
      <w:pPr>
        <w:ind w:left="1298" w:right="140" w:hanging="326"/>
        <w:spacing w:after="0" w:line="265" w:lineRule="auto"/>
        <w:tabs>
          <w:tab w:leader="none" w:pos="128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Dividend reinvestments: </w:t>
      </w:r>
      <w:r>
        <w:rPr>
          <w:rFonts w:ascii="Times New Roman" w:cs="Times New Roman" w:eastAsia="Times New Roman" w:hAnsi="Times New Roman"/>
          <w:sz w:val="19"/>
          <w:szCs w:val="19"/>
          <w:color w:val="auto"/>
        </w:rPr>
        <w:t>The acquisition of shares of TTC common stock under TTC’s dividend reinvestment plan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dividend reinvestment features of plans maintained by TTC are generally not subject to this Policy; however, (1) voluntary purchases of TTC securities resulting from additional contributions you make pursuant to the dividend reinvestment plan, your election to participate in TTC’s dividend reinvestment plan or the dividend reinvestment features of TTC plans, or elections to increase your level of participation in such plans, are subject to this Policy and</w:t>
      </w:r>
    </w:p>
    <w:p>
      <w:pPr>
        <w:spacing w:after="0" w:line="1" w:lineRule="exact"/>
        <w:rPr>
          <w:rFonts w:ascii="Times New Roman" w:cs="Times New Roman" w:eastAsia="Times New Roman" w:hAnsi="Times New Roman"/>
          <w:sz w:val="19"/>
          <w:szCs w:val="19"/>
          <w:color w:val="auto"/>
        </w:rPr>
      </w:pPr>
    </w:p>
    <w:p>
      <w:pPr>
        <w:ind w:left="1298" w:right="24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sales or other transactions involving any TTC securities purchased pursuant to such plans are also subject to this Policy.</w:t>
      </w:r>
    </w:p>
    <w:p>
      <w:pPr>
        <w:spacing w:after="0" w:line="211" w:lineRule="exact"/>
        <w:rPr>
          <w:rFonts w:ascii="Times New Roman" w:cs="Times New Roman" w:eastAsia="Times New Roman" w:hAnsi="Times New Roman"/>
          <w:sz w:val="19"/>
          <w:szCs w:val="19"/>
          <w:color w:val="auto"/>
        </w:rPr>
      </w:pPr>
    </w:p>
    <w:p>
      <w:pPr>
        <w:ind w:left="318" w:right="160" w:hanging="318"/>
        <w:spacing w:after="0" w:line="254" w:lineRule="auto"/>
        <w:tabs>
          <w:tab w:leader="none" w:pos="30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Avoid speculation and other practices that may appear to be based on material non- public information</w:t>
      </w:r>
      <w:r>
        <w:rPr>
          <w:rFonts w:ascii="Times New Roman" w:cs="Times New Roman" w:eastAsia="Times New Roman" w:hAnsi="Times New Roman"/>
          <w:sz w:val="20"/>
          <w:szCs w:val="20"/>
          <w:color w:val="auto"/>
        </w:rPr>
        <w:t>. Purchases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generally should be made as a long- term rather than a short-term investment. TTC considers it inappropriate for any person subject to this Policy to engage in speculative transactions in TTC securities or other transactions which might give the appearance of impropriety. In addition, TTC discourages any person subject to this Policy from engaging in frequent trading in TTC securities because such trading also may give the appearance that such trades were timed to take advantage of material non-public information. This Policy either prohibits or limits the following types of transactions:</w:t>
      </w:r>
    </w:p>
    <w:p>
      <w:pPr>
        <w:sectPr>
          <w:pgSz w:w="11900" w:h="16838" w:orient="portrait"/>
          <w:cols w:equalWidth="0" w:num="1">
            <w:col w:w="10698"/>
          </w:cols>
          <w:pgMar w:left="742" w:top="1170" w:right="459" w:bottom="1440" w:gutter="0" w:footer="0" w:header="0"/>
        </w:sectPr>
      </w:pPr>
    </w:p>
    <w:bookmarkStart w:id="107" w:name="page108"/>
    <w:bookmarkEnd w:id="107"/>
    <w:p>
      <w:pPr>
        <w:ind w:left="1298" w:right="18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242021"/>
        </w:rPr>
        <w:t>Short-Term Trading</w:t>
      </w:r>
      <w:r>
        <w:rPr>
          <w:rFonts w:ascii="Times New Roman" w:cs="Times New Roman" w:eastAsia="Times New Roman" w:hAnsi="Times New Roman"/>
          <w:sz w:val="20"/>
          <w:szCs w:val="20"/>
          <w:color w:val="242021"/>
        </w:rPr>
        <w:t>. Short-term trading of TTC securities may be distracting to the person and may unduly focus</w:t>
      </w:r>
      <w:r>
        <w:rPr>
          <w:rFonts w:ascii="Times New Roman" w:cs="Times New Roman" w:eastAsia="Times New Roman" w:hAnsi="Times New Roman"/>
          <w:sz w:val="20"/>
          <w:szCs w:val="20"/>
          <w:i w:val="1"/>
          <w:iCs w:val="1"/>
          <w:color w:val="242021"/>
        </w:rPr>
        <w:t xml:space="preserve"> </w:t>
      </w:r>
      <w:r>
        <w:rPr>
          <w:rFonts w:ascii="Times New Roman" w:cs="Times New Roman" w:eastAsia="Times New Roman" w:hAnsi="Times New Roman"/>
          <w:sz w:val="20"/>
          <w:szCs w:val="20"/>
          <w:color w:val="242021"/>
        </w:rPr>
        <w:t>the person on the TTC’s short-term stock market performance instead of TTC’s long-term business objectives. For these reasons, any Director, Officer, or other person subject to this Policy who purchases TTC securities in the open market may not sell any TTC securities of the same class during the six months following the purchase (or vice versa).</w:t>
      </w:r>
    </w:p>
    <w:p>
      <w:pPr>
        <w:spacing w:after="0" w:line="214" w:lineRule="exact"/>
        <w:rPr>
          <w:rFonts w:ascii="Times New Roman" w:cs="Times New Roman" w:eastAsia="Times New Roman" w:hAnsi="Times New Roman"/>
          <w:sz w:val="20"/>
          <w:szCs w:val="20"/>
          <w:color w:val="auto"/>
        </w:rPr>
      </w:pPr>
    </w:p>
    <w:p>
      <w:pPr>
        <w:ind w:left="1298" w:right="16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Short sales</w:t>
      </w:r>
      <w:r>
        <w:rPr>
          <w:rFonts w:ascii="Times New Roman" w:cs="Times New Roman" w:eastAsia="Times New Roman" w:hAnsi="Times New Roman"/>
          <w:sz w:val="20"/>
          <w:szCs w:val="20"/>
          <w:color w:val="auto"/>
        </w:rPr>
        <w:t>. Short sales of stock are transactions where you borrow stock, sell it, and then buy stock at a later date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 the borrowed shares. Short sales are intended to reward you for downward changes in price, and as such, short sales may appear to have resulted from the possession of material non-public information. In addition, Section 16(c) of the Exchange Act prohibits Directors and Officers from engaging in short sales. You may not engage in short sales of TTC securities.</w:t>
      </w:r>
    </w:p>
    <w:p>
      <w:pPr>
        <w:spacing w:after="0" w:line="214" w:lineRule="exact"/>
        <w:rPr>
          <w:rFonts w:ascii="Times New Roman" w:cs="Times New Roman" w:eastAsia="Times New Roman" w:hAnsi="Times New Roman"/>
          <w:sz w:val="20"/>
          <w:szCs w:val="20"/>
          <w:color w:val="auto"/>
        </w:rPr>
      </w:pPr>
    </w:p>
    <w:p>
      <w:pPr>
        <w:ind w:left="1298" w:right="80" w:hanging="326"/>
        <w:spacing w:after="0" w:line="255"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Publicly-traded options</w:t>
      </w:r>
      <w:r>
        <w:rPr>
          <w:rFonts w:ascii="Times New Roman" w:cs="Times New Roman" w:eastAsia="Times New Roman" w:hAnsi="Times New Roman"/>
          <w:sz w:val="20"/>
          <w:szCs w:val="20"/>
          <w:color w:val="auto"/>
        </w:rPr>
        <w:t>. Given the relatively short terms of publicly-traded options, transactions in such options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create the appearance that such transactions have resulted from possession of material non-public information. Accordingly, you may not engage in transactions in put options, call options, or other derivative securities involving TTC stock, whether on an exchange or otherwise.</w:t>
      </w:r>
    </w:p>
    <w:p>
      <w:pPr>
        <w:spacing w:after="0" w:line="210" w:lineRule="exact"/>
        <w:rPr>
          <w:rFonts w:ascii="Times New Roman" w:cs="Times New Roman" w:eastAsia="Times New Roman" w:hAnsi="Times New Roman"/>
          <w:sz w:val="20"/>
          <w:szCs w:val="20"/>
          <w:color w:val="auto"/>
        </w:rPr>
      </w:pPr>
    </w:p>
    <w:p>
      <w:pPr>
        <w:ind w:left="1298" w:right="180" w:hanging="326"/>
        <w:spacing w:after="0" w:line="255"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Hedging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Hedging transactions, such as collars, equity swaps, prepaid variable forwards, and 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are designed to hedge or offset any decrease in the market value of securities. When that occurs, the owner may no longer have the same objectives as other security holders.</w:t>
      </w:r>
    </w:p>
    <w:p>
      <w:pPr>
        <w:spacing w:after="0" w:line="1" w:lineRule="exact"/>
        <w:rPr>
          <w:rFonts w:ascii="Times New Roman" w:cs="Times New Roman" w:eastAsia="Times New Roman" w:hAnsi="Times New Roman"/>
          <w:sz w:val="20"/>
          <w:szCs w:val="20"/>
          <w:color w:val="auto"/>
        </w:rPr>
      </w:pPr>
    </w:p>
    <w:p>
      <w:pPr>
        <w:ind w:left="129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Therefore, you may not engage in any hedging transactions involving TTC securities.</w:t>
      </w:r>
    </w:p>
    <w:p>
      <w:pPr>
        <w:spacing w:after="0" w:line="223" w:lineRule="exact"/>
        <w:rPr>
          <w:rFonts w:ascii="Times New Roman" w:cs="Times New Roman" w:eastAsia="Times New Roman" w:hAnsi="Times New Roman"/>
          <w:sz w:val="20"/>
          <w:szCs w:val="20"/>
          <w:color w:val="auto"/>
        </w:rPr>
      </w:pPr>
    </w:p>
    <w:p>
      <w:pPr>
        <w:ind w:left="1298"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Margin Accounts and Pledged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held in a margin account as collateral for a margin loan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TTC securities, Directors, Officers </w:t>
      </w:r>
      <w:r>
        <w:rPr>
          <w:rFonts w:ascii="Times New Roman" w:cs="Times New Roman" w:eastAsia="Times New Roman" w:hAnsi="Times New Roman"/>
          <w:sz w:val="20"/>
          <w:szCs w:val="20"/>
          <w:color w:val="242021"/>
        </w:rPr>
        <w:t>and any other person 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021"/>
        </w:rPr>
        <w:t xml:space="preserve">to this Policy </w:t>
      </w:r>
      <w:r>
        <w:rPr>
          <w:rFonts w:ascii="Times New Roman" w:cs="Times New Roman" w:eastAsia="Times New Roman" w:hAnsi="Times New Roman"/>
          <w:sz w:val="20"/>
          <w:szCs w:val="20"/>
          <w:color w:val="000000"/>
        </w:rPr>
        <w:t>are prohibited from holding TTC securities in a margin account or otherwise pledging TTC securities as</w:t>
      </w:r>
      <w:r>
        <w:rPr>
          <w:rFonts w:ascii="Times New Roman" w:cs="Times New Roman" w:eastAsia="Times New Roman" w:hAnsi="Times New Roman"/>
          <w:sz w:val="20"/>
          <w:szCs w:val="20"/>
          <w:color w:val="242021"/>
        </w:rPr>
        <w:t xml:space="preserve"> </w:t>
      </w:r>
      <w:r>
        <w:rPr>
          <w:rFonts w:ascii="Times New Roman" w:cs="Times New Roman" w:eastAsia="Times New Roman" w:hAnsi="Times New Roman"/>
          <w:sz w:val="20"/>
          <w:szCs w:val="20"/>
          <w:color w:val="000000"/>
        </w:rPr>
        <w:t>collateral for a loan.</w:t>
      </w:r>
    </w:p>
    <w:p>
      <w:pPr>
        <w:spacing w:after="0" w:line="213" w:lineRule="exact"/>
        <w:rPr>
          <w:rFonts w:ascii="Times New Roman" w:cs="Times New Roman" w:eastAsia="Times New Roman" w:hAnsi="Times New Roman"/>
          <w:sz w:val="20"/>
          <w:szCs w:val="20"/>
          <w:color w:val="auto"/>
        </w:rPr>
      </w:pPr>
    </w:p>
    <w:p>
      <w:pPr>
        <w:ind w:left="1298" w:right="220" w:hanging="326"/>
        <w:spacing w:after="0" w:line="254" w:lineRule="auto"/>
        <w:tabs>
          <w:tab w:leader="none" w:pos="12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Standing and limit orders.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Standing and limit orders are orders placed with a broker to sell or purchase stock at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specified price. Because there is no control over the timing of purchases or sales that result from standing instructions to a broker, a transaction could be executed when the shareholder is aware of material non-public information. If you use a standing order or limit order, the order should be limited in duration and should otherwise comply with the trading requirements outlined in this Policy.</w:t>
      </w:r>
    </w:p>
    <w:p>
      <w:pPr>
        <w:spacing w:after="0" w:line="214" w:lineRule="exact"/>
        <w:rPr>
          <w:rFonts w:ascii="Times New Roman" w:cs="Times New Roman" w:eastAsia="Times New Roman" w:hAnsi="Times New Roman"/>
          <w:sz w:val="20"/>
          <w:szCs w:val="20"/>
          <w:color w:val="auto"/>
        </w:rPr>
      </w:pPr>
    </w:p>
    <w:p>
      <w:pPr>
        <w:ind w:left="318" w:hanging="318"/>
        <w:spacing w:after="0" w:line="263" w:lineRule="auto"/>
        <w:tabs>
          <w:tab w:leader="none" w:pos="31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You may adopt a Rule 10b5-1 plan in accordance with this Policy</w:t>
      </w:r>
      <w:r>
        <w:rPr>
          <w:rFonts w:ascii="Times New Roman" w:cs="Times New Roman" w:eastAsia="Times New Roman" w:hAnsi="Times New Roman"/>
          <w:sz w:val="20"/>
          <w:szCs w:val="20"/>
          <w:color w:val="auto"/>
        </w:rPr>
        <w:t>. The trading requirements set forth in this Policy do not apply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transactions in TTC securities pursuant to a previously approved Rule 10b5-1 plan. If you wish to implement a Rule 10b5-1 plan, you must submit the Rule 10b5-1 plan for pre-clearance to TTC’s General Counsel a reasonable period of time prior</w:t>
      </w:r>
    </w:p>
    <w:p>
      <w:pPr>
        <w:sectPr>
          <w:pgSz w:w="11900" w:h="16838" w:orient="portrait"/>
          <w:cols w:equalWidth="0" w:num="1">
            <w:col w:w="10638"/>
          </w:cols>
          <w:pgMar w:left="742" w:top="1166" w:right="519" w:bottom="1440" w:gutter="0" w:footer="0" w:header="0"/>
        </w:sectPr>
      </w:pPr>
    </w:p>
    <w:bookmarkStart w:id="108" w:name="page109"/>
    <w:bookmarkEnd w:id="108"/>
    <w:p>
      <w:pPr>
        <w:ind w:left="740" w:right="40"/>
        <w:spacing w:after="0" w:line="266" w:lineRule="auto"/>
        <w:rPr>
          <w:sz w:val="20"/>
          <w:szCs w:val="20"/>
          <w:color w:val="auto"/>
        </w:rPr>
      </w:pPr>
      <w:r>
        <w:rPr>
          <w:rFonts w:ascii="Times New Roman" w:cs="Times New Roman" w:eastAsia="Times New Roman" w:hAnsi="Times New Roman"/>
          <w:sz w:val="19"/>
          <w:szCs w:val="19"/>
          <w:color w:val="auto"/>
        </w:rPr>
        <w:t>to when you wish to commence transactions in TTC securities (no less than five days) under the Rule 10b5-1 plan. Further, you can only enter into or modify a Rule 10b5-1 plan at a time when you are not aware of material non-public information. The Rule 10b5-1 plan must specify dates, prices, and amounts of planned trades, or establish a formula for determining the dates, prices, and amounts. You must not have any ability to contemporaneously control the execution of transactions under the Rule 10b5-1 plan, and such transactions must be initiated by a third party. Once a Rule 10b5- 1 plan is adopted, you must not exercise any influence over the timing or amount of TTC securities subject to the Rule 10b5-1 plan, provided that you may terminate a Rule 10b5- 1 plan at any time. Restricted Persons are subject to additional restrictions that are reflected in the Addendum to this Policy.</w:t>
      </w:r>
    </w:p>
    <w:p>
      <w:pPr>
        <w:spacing w:after="0" w:line="204" w:lineRule="exact"/>
        <w:rPr>
          <w:sz w:val="20"/>
          <w:szCs w:val="20"/>
          <w:color w:val="auto"/>
        </w:rPr>
      </w:pPr>
    </w:p>
    <w:p>
      <w:pPr>
        <w:jc w:val="both"/>
        <w:ind w:left="740" w:right="80" w:hanging="318"/>
        <w:spacing w:after="0" w:line="283" w:lineRule="auto"/>
        <w:tabs>
          <w:tab w:leader="none" w:pos="72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You are responsible for transactions by your related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Policy applies to your related parties. Accordingly, all references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“you” in this Policy also apply to your related parties. Since you are responsible for the compliance of your related parties with this Policy, you should make them aware of the need to confer with you prior to engaging in any transaction in TTC securities.</w:t>
      </w:r>
    </w:p>
    <w:p>
      <w:pPr>
        <w:spacing w:after="0" w:line="185" w:lineRule="exact"/>
        <w:rPr>
          <w:rFonts w:ascii="Times New Roman" w:cs="Times New Roman" w:eastAsia="Times New Roman" w:hAnsi="Times New Roman"/>
          <w:sz w:val="19"/>
          <w:szCs w:val="19"/>
          <w:color w:val="auto"/>
        </w:rPr>
      </w:pPr>
    </w:p>
    <w:p>
      <w:pPr>
        <w:ind w:left="740" w:right="60" w:hanging="318"/>
        <w:spacing w:after="0" w:line="252" w:lineRule="auto"/>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This Policy also applies to trading in other securities</w:t>
      </w:r>
      <w:r>
        <w:rPr>
          <w:rFonts w:ascii="Times New Roman" w:cs="Times New Roman" w:eastAsia="Times New Roman" w:hAnsi="Times New Roman"/>
          <w:sz w:val="20"/>
          <w:szCs w:val="20"/>
          <w:color w:val="auto"/>
        </w:rPr>
        <w:t>. In the course of your business relationships on behalf of TTC with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companies, such as with our customers, competitors, suppliers or other partners, you may receive significant non-public information regarding such other companies. In addition, you may have information with respect to any company with which TTC may be discussing a major transaction, such as an acquisition, joint venture, alliance, or investment. Information that may not be material to TTC may nevertheless be material to such other company. This Policy applies to and prohibits trading in securities of these other companies when you are aware of material non-public information related to these other companies. In addition, this Policy prohibits tipping material non-public information about these other companies to others.</w:t>
      </w:r>
    </w:p>
    <w:p>
      <w:pPr>
        <w:spacing w:after="0" w:line="213" w:lineRule="exact"/>
        <w:rPr>
          <w:rFonts w:ascii="Times New Roman" w:cs="Times New Roman" w:eastAsia="Times New Roman" w:hAnsi="Times New Roman"/>
          <w:sz w:val="20"/>
          <w:szCs w:val="20"/>
          <w:color w:val="auto"/>
        </w:rPr>
      </w:pPr>
    </w:p>
    <w:p>
      <w:pPr>
        <w:ind w:left="740" w:right="180" w:hanging="318"/>
        <w:spacing w:after="0" w:line="254" w:lineRule="auto"/>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Your transactions will be evaluated with the benefit of hindsight</w:t>
      </w:r>
      <w:r>
        <w:rPr>
          <w:rFonts w:ascii="Times New Roman" w:cs="Times New Roman" w:eastAsia="Times New Roman" w:hAnsi="Times New Roman"/>
          <w:sz w:val="20"/>
          <w:szCs w:val="20"/>
          <w:color w:val="auto"/>
        </w:rPr>
        <w:t>. If your securities transactions become the subject of scrutiny,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will be viewed after the fact with the benefit of hindsight. As a result, before engaging in any transaction, you should carefully consider how the transaction may be construed by others. This is particularly true where you may have non-public information that you do not consider to be material at the time of your transaction, but which others may later find to have in fact been material.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Post-Termination Transactions</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Policy continues to apply even after your employment or service relationship with TTC has terminated. If you are aware of material non-public information when your employment or service relationship with TTC ends, you may not engage in transactions in TTC securities or securities of companies in which TTC does business until that information has become public or is no longer material. In addition, if you are a Restricted Person and the company is not in an open window trading period at the time you leave the company, you and your related parties must abide by the applicable trading restrictions until at least the end of the restricted period and the opening of the next open trading window.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Possible Penalties</w:t>
      </w:r>
    </w:p>
    <w:p>
      <w:pPr>
        <w:spacing w:after="0" w:line="2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Even if you were not aware of any material non-public information, if you engage in a transaction in TTC securities or securities, of a company with which TTC does business shortly before the public announcement of an event that affects the market price of such securities, you may attract the attention of the SEC, the New York Stock Exchange, or other regulators. The same is true if such securities</w:t>
      </w:r>
    </w:p>
    <w:p>
      <w:pPr>
        <w:sectPr>
          <w:pgSz w:w="11900" w:h="16838" w:orient="portrait"/>
          <w:cols w:equalWidth="0" w:num="1">
            <w:col w:w="11140"/>
          </w:cols>
          <w:pgMar w:left="320" w:top="1170" w:right="439" w:bottom="1440" w:gutter="0" w:footer="0" w:header="0"/>
        </w:sectPr>
      </w:pPr>
    </w:p>
    <w:bookmarkStart w:id="109" w:name="page110"/>
    <w:bookmarkEnd w:id="109"/>
    <w:p>
      <w:pPr>
        <w:ind w:right="60"/>
        <w:spacing w:after="0" w:line="252" w:lineRule="auto"/>
        <w:rPr>
          <w:sz w:val="20"/>
          <w:szCs w:val="20"/>
          <w:color w:val="auto"/>
        </w:rPr>
      </w:pPr>
      <w:r>
        <w:rPr>
          <w:rFonts w:ascii="Times New Roman" w:cs="Times New Roman" w:eastAsia="Times New Roman" w:hAnsi="Times New Roman"/>
          <w:sz w:val="20"/>
          <w:szCs w:val="20"/>
          <w:color w:val="auto"/>
        </w:rPr>
        <w:t>transaction is undertaken by one of your related parties, your friends or work associates. Defending against such a charge is embarrassing— not to mention difficult, time-consuming and expensive—for both you and TTC. Although it is impossible to assure that your securities transactions will not be completely insulated from scrutiny, it is important that you strive to avoid even an appearance that you might have traded or otherwise engaged in transactions in TTC securities while aware of material non-public information. Individuals who trade on material non-public information, or who “tip” such information to others, may be subject to civil and criminal penalties, including fines and imprisonment, and penalties for trading on or tipping material non-public information can extend significantly beyond any profits made or losses avoided. In addition, TTC will impose appropriate penalties for any violation of this Policy, including ineligibility for future equity or incentive programs, or termination of an individual’s employment or service arrangement with TTC. TTC has full discretion to determine whether this Policy has been violated based on the information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Responsibility</w:t>
      </w:r>
    </w:p>
    <w:p>
      <w:pPr>
        <w:spacing w:after="0" w:line="26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Persons subject to this Policy have legal and ethical obligations not to disclose non-public information regarding TTC and not to engage in transactions in TTC securities while aware of material non-public information. Each individual is responsible for making sure that he or she complies with this Policy, and that all related parties subject to this Policy also comply with this Policy. In all cases, the responsibility for determining whether an individual is aware of material non-public information ultimately rests with that individual, and any action on the part of TTC or any Director, Officer or employee of TTC pursuant to this Policy (or otherwise) does not in any way constitute legal advice or insulate you from liability under applicable securities laws. In addition, this Policy is not intended to create or result in the imposition of any liability to TTC that would not exist in the absence of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Assistance</w:t>
      </w:r>
    </w:p>
    <w:p>
      <w:pPr>
        <w:spacing w:after="0" w:line="2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Any person with questions about specific transactions may obtain additional guidance from TTC’s General Counsel or other lawyers in TTC’s Legal Department that are responsible for compliance with securities laws. However, the ultimate responsibility for adhering to this Policy, and avoiding improper transactions, rests with you.</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TTC to trade or otherwise effect transactions in securities, you should report it to the General Counsel. You may also report via our Ethics Helpline at http://www.thetorocompany.com/ethicshelpline or by telephone in the US: 1-800-850-7247.</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5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color w:val="auto"/>
        </w:rPr>
        <w:t>The General Counsel is responsible for the administration of this Policy. The General Counsel may designate one or more individuals who may perform the General Counsel’s duties in the event that the General Counsel is unable or unavailable to perform such duties. All determinations and interpretations by the General Counsel shall be final and not subject to further review.</w:t>
      </w:r>
    </w:p>
    <w:p>
      <w:pPr>
        <w:sectPr>
          <w:pgSz w:w="11900" w:h="16838" w:orient="portrait"/>
          <w:cols w:equalWidth="0" w:num="1">
            <w:col w:w="11140"/>
          </w:cols>
          <w:pgMar w:left="320" w:top="1170" w:right="4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ADDENDUM TO THE TORO COMPANY INSIDER TRADING POLICY</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color w:val="auto"/>
        </w:rPr>
        <w:t>If you are a Director, Officer, or an employee designated as an "officer" of TTC for purposes of the reporting and liability provisions of Section 16 of the Securities Exchange Act of 1934, as amended, and the rules and regulations promulgated thereunder (“Section 16 Individuals”) or any other employee designated by the General Counsel (“Restricted Persons”), you and your related parties are subject to additional restrictions and procedures as described in this Addendum:</w:t>
      </w:r>
    </w:p>
    <w:p>
      <w:pPr>
        <w:spacing w:after="0" w:line="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 Open Window Trading Period and Event-Specific Trading Restrictions</w:t>
      </w: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Generally, you and your related parties may not engage in any transaction in TTC securities (including open market sales of TTC common stock, broker-assisted cashless stock option exercises, elections or transfers in or out of the TTC common stock fund in the TTC Retirement Plan, transactions in TTC common stock in your Health Savings Account, and gifts of TTC securities) except during an “open window trading period,” regardless of whether you believe you are not aware any material non- public information at that time. Open window trading periods do not supersede the prohibition on trading or engaging in other transactions in TTC securities while you are aware of material non- public information.</w:t>
      </w:r>
    </w:p>
    <w:p>
      <w:pPr>
        <w:spacing w:after="0" w:line="202" w:lineRule="exact"/>
        <w:rPr>
          <w:sz w:val="20"/>
          <w:szCs w:val="20"/>
          <w:color w:val="auto"/>
        </w:rPr>
      </w:pPr>
    </w:p>
    <w:p>
      <w:pPr>
        <w:ind w:left="740" w:right="260" w:hanging="318"/>
        <w:spacing w:after="0" w:line="254" w:lineRule="auto"/>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Timing of open window trading period</w:t>
      </w:r>
      <w:r>
        <w:rPr>
          <w:rFonts w:ascii="Times New Roman" w:cs="Times New Roman" w:eastAsia="Times New Roman" w:hAnsi="Times New Roman"/>
          <w:sz w:val="20"/>
          <w:szCs w:val="20"/>
          <w:color w:val="auto"/>
        </w:rPr>
        <w:t>. In general, the open window trading period begins at the start of trading on the third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business day after the public announcement of TTC’s annual or quarterly earnings release (with the day of the public announcement counted as the first day) </w:t>
      </w:r>
      <w:r>
        <w:rPr>
          <w:rFonts w:ascii="Times New Roman" w:cs="Times New Roman" w:eastAsia="Times New Roman" w:hAnsi="Times New Roman"/>
          <w:sz w:val="20"/>
          <w:szCs w:val="20"/>
          <w:u w:val="single" w:color="auto"/>
          <w:color w:val="auto"/>
        </w:rPr>
        <w:t>and ends, for the first fiscal quarter of TTC’s fiscal year,</w:t>
      </w:r>
      <w:r>
        <w:rPr>
          <w:rFonts w:ascii="Times New Roman" w:cs="Times New Roman" w:eastAsia="Times New Roman" w:hAnsi="Times New Roman"/>
          <w:sz w:val="20"/>
          <w:szCs w:val="20"/>
          <w:color w:val="auto"/>
        </w:rPr>
        <w:t xml:space="preserve"> at the close of trading on the tenth business day after January 1st and, </w:t>
      </w:r>
      <w:r>
        <w:rPr>
          <w:rFonts w:ascii="Times New Roman" w:cs="Times New Roman" w:eastAsia="Times New Roman" w:hAnsi="Times New Roman"/>
          <w:sz w:val="20"/>
          <w:szCs w:val="20"/>
          <w:u w:val="single" w:color="auto"/>
          <w:color w:val="auto"/>
        </w:rPr>
        <w:t>for each other fiscal quarter during TTC’s fiscal year</w:t>
      </w:r>
      <w:r>
        <w:rPr>
          <w:rFonts w:ascii="Times New Roman" w:cs="Times New Roman" w:eastAsia="Times New Roman" w:hAnsi="Times New Roman"/>
          <w:sz w:val="20"/>
          <w:szCs w:val="20"/>
          <w:color w:val="auto"/>
        </w:rPr>
        <w:t>, at the close of trading on the last day of the second month of the fiscal quarter. If the date for the beginning or ending of the open window trading period falls on a day when U.S. trading markets are not open, then such period will commence at the applicable time on the next day the markets are open.</w:t>
      </w:r>
    </w:p>
    <w:p>
      <w:pPr>
        <w:spacing w:after="0" w:line="213" w:lineRule="exact"/>
        <w:rPr>
          <w:rFonts w:ascii="Times New Roman" w:cs="Times New Roman" w:eastAsia="Times New Roman" w:hAnsi="Times New Roman"/>
          <w:sz w:val="20"/>
          <w:szCs w:val="20"/>
          <w:color w:val="auto"/>
        </w:rPr>
      </w:pPr>
    </w:p>
    <w:p>
      <w:pPr>
        <w:ind w:left="740" w:right="200" w:hanging="318"/>
        <w:spacing w:after="0" w:line="255" w:lineRule="auto"/>
        <w:tabs>
          <w:tab w:leader="none" w:pos="7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Event-specific trading restrictions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may be instructed from time to time to refrain from any securities transactions, even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an open window trading period, because of important developments not yet disclosed to the public or in other unusual circumstances. You must keep the existence of any such event-specific trading restriction confidential. You may also be requested to sign an acknowledgment signifying your awareness of the trading restriction and confidentiality obligation.</w:t>
      </w:r>
    </w:p>
    <w:p>
      <w:pPr>
        <w:spacing w:after="0" w:line="210" w:lineRule="exact"/>
        <w:rPr>
          <w:rFonts w:ascii="Times New Roman" w:cs="Times New Roman" w:eastAsia="Times New Roman" w:hAnsi="Times New Roman"/>
          <w:sz w:val="20"/>
          <w:szCs w:val="20"/>
          <w:color w:val="auto"/>
        </w:rPr>
      </w:pPr>
    </w:p>
    <w:p>
      <w:pPr>
        <w:ind w:left="740" w:right="160" w:hanging="318"/>
        <w:spacing w:after="0" w:line="254" w:lineRule="auto"/>
        <w:tabs>
          <w:tab w:leader="none" w:pos="7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Notification of open window trading periods and event-specific trading restrictions.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General Counsel generally determines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whether to open the trading window or whether to impose an event-specific trading restriction. Therefore, there is no guarantee that a trading window will be opened according to the quarterly schedule indicated above or that, once opened, it will remain open for the generally scheduled duration. The General Counsel or his or her designee(s) will notify you via email (1) at or near the anticipated beginning of each open window trading period to confirm whether the trading window will in fact be opened, (2) at or in advance of the closing of the open window trading period, and (3) when an event-specific trading restriction is in place and when such restrictions have lapsed.</w:t>
      </w:r>
    </w:p>
    <w:p>
      <w:pPr>
        <w:spacing w:after="0" w:line="199" w:lineRule="exact"/>
        <w:rPr>
          <w:rFonts w:ascii="Times New Roman" w:cs="Times New Roman" w:eastAsia="Times New Roman" w:hAnsi="Times New Roman"/>
          <w:sz w:val="20"/>
          <w:szCs w:val="20"/>
          <w:color w:val="auto"/>
        </w:rPr>
      </w:pPr>
    </w:p>
    <w:p>
      <w:pPr>
        <w:jc w:val="both"/>
        <w:ind w:left="740" w:right="400" w:hanging="318"/>
        <w:spacing w:after="0" w:line="263" w:lineRule="auto"/>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Certain exceptions</w:t>
      </w:r>
      <w:r>
        <w:rPr>
          <w:rFonts w:ascii="Times New Roman" w:cs="Times New Roman" w:eastAsia="Times New Roman" w:hAnsi="Times New Roman"/>
          <w:sz w:val="20"/>
          <w:szCs w:val="20"/>
          <w:color w:val="auto"/>
        </w:rPr>
        <w:t>. Certain transactions are allowed outside of an open window trading period or at a time when event-specific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restrictions are in place. The following transactions are permissible outside an open window trading period or during an event-specific trading restriction period:</w:t>
      </w:r>
    </w:p>
    <w:p>
      <w:pPr>
        <w:sectPr>
          <w:pgSz w:w="11900" w:h="16838" w:orient="portrait"/>
          <w:cols w:equalWidth="0" w:num="1">
            <w:col w:w="11220"/>
          </w:cols>
          <w:pgMar w:left="320" w:top="1166" w:right="359" w:bottom="1440" w:gutter="0" w:footer="0" w:header="0"/>
        </w:sectPr>
      </w:pPr>
    </w:p>
    <w:bookmarkStart w:id="111" w:name="page112"/>
    <w:bookmarkEnd w:id="111"/>
    <w:p>
      <w:pPr>
        <w:ind w:left="1720" w:right="14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or “net exercise” of stock options</w:t>
      </w:r>
      <w:r>
        <w:rPr>
          <w:rFonts w:ascii="Times New Roman" w:cs="Times New Roman" w:eastAsia="Times New Roman" w:hAnsi="Times New Roman"/>
          <w:sz w:val="20"/>
          <w:szCs w:val="20"/>
          <w:color w:val="auto"/>
        </w:rPr>
        <w:t>. A cash exercise of TTC stock options and a cashless “net exercise” of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options pursuant to which you have elected to have TTC withhold a sufficient number of the underlying shares of TTC common stock to pay the exercise price of the option and/or satisfy your related tax withholding obligations are allowed.</w:t>
      </w:r>
    </w:p>
    <w:p>
      <w:pPr>
        <w:spacing w:after="0" w:line="191" w:lineRule="exact"/>
        <w:rPr>
          <w:rFonts w:ascii="Times New Roman" w:cs="Times New Roman" w:eastAsia="Times New Roman" w:hAnsi="Times New Roman"/>
          <w:sz w:val="20"/>
          <w:szCs w:val="20"/>
          <w:color w:val="auto"/>
        </w:rPr>
      </w:pPr>
    </w:p>
    <w:p>
      <w:pPr>
        <w:ind w:left="1720" w:right="180" w:hanging="326"/>
        <w:spacing w:after="0" w:line="258"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TTC Retirement Plan purchase</w:t>
      </w:r>
      <w:r>
        <w:rPr>
          <w:rFonts w:ascii="Times New Roman" w:cs="Times New Roman" w:eastAsia="Times New Roman" w:hAnsi="Times New Roman"/>
          <w:sz w:val="20"/>
          <w:szCs w:val="20"/>
          <w:color w:val="auto"/>
        </w:rPr>
        <w:t>. The regular purchase of TTC securities through your participation in the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Retirement Plan is allowed, provided the purchase results from your periodic plan contributions using the payroll deduction election that was made (i) during an open window trading period, (ii) at a time when you were not subject to an event-specific trading restriction, and (iii) at a time when you were not aware of material non-public information.</w:t>
      </w:r>
    </w:p>
    <w:p>
      <w:pPr>
        <w:spacing w:after="0" w:line="194" w:lineRule="exact"/>
        <w:rPr>
          <w:rFonts w:ascii="Times New Roman" w:cs="Times New Roman" w:eastAsia="Times New Roman" w:hAnsi="Times New Roman"/>
          <w:sz w:val="20"/>
          <w:szCs w:val="20"/>
          <w:color w:val="auto"/>
        </w:rPr>
      </w:pPr>
    </w:p>
    <w:p>
      <w:pPr>
        <w:ind w:left="1720" w:right="14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reinvestment. </w:t>
      </w:r>
      <w:r>
        <w:rPr>
          <w:rFonts w:ascii="Times New Roman" w:cs="Times New Roman" w:eastAsia="Times New Roman" w:hAnsi="Times New Roman"/>
          <w:sz w:val="20"/>
          <w:szCs w:val="20"/>
          <w:color w:val="auto"/>
        </w:rPr>
        <w:t>The acquisition of shares of TTC common stock under TTC’s dividend reinvestment plan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dividend reinvestment features of plans maintained by TTC are allowed pursuant to an election that was made (i) during an open window trading period, (ii) at a time when you were not subject to an event-specific trading restriction, and (iii) at a time when you were not aware of material non-public information.</w:t>
      </w:r>
    </w:p>
    <w:p>
      <w:pPr>
        <w:spacing w:after="0" w:line="191" w:lineRule="exact"/>
        <w:rPr>
          <w:rFonts w:ascii="Times New Roman" w:cs="Times New Roman" w:eastAsia="Times New Roman" w:hAnsi="Times New Roman"/>
          <w:sz w:val="20"/>
          <w:szCs w:val="20"/>
          <w:color w:val="auto"/>
        </w:rPr>
      </w:pPr>
    </w:p>
    <w:p>
      <w:pPr>
        <w:ind w:left="1720" w:right="100" w:hanging="326"/>
        <w:spacing w:after="0" w:line="269" w:lineRule="auto"/>
        <w:tabs>
          <w:tab w:leader="none" w:pos="1708"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Vesting and deferral of awards under TTC plans, including tax withholding rights</w:t>
      </w:r>
      <w:r>
        <w:rPr>
          <w:rFonts w:ascii="Times New Roman" w:cs="Times New Roman" w:eastAsia="Times New Roman" w:hAnsi="Times New Roman"/>
          <w:sz w:val="19"/>
          <w:szCs w:val="19"/>
          <w:color w:val="auto"/>
        </w:rPr>
        <w:t>. The vesting of restricted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restricted stock units, and performance share awards are allowed pursuant to the vesting schedule determined at the time of grant. Making an election to defer any vested award, as well as the deferral of receipt of the applicable vested award pursuant to such deferral election, each as completed in accordance with the terms of the applicable deferred compensation plan, are allowed. In addition, the exercise of a tax withholding right pursuant to which you elect to have TTC withhold some of the underlying shares of TTC common stock to satisfy tax withholding requirements upon vesting of such awards is permissible; however, the sale of TTC common stock by you in the open market or otherwise to cover tax withholding obligations is not allowed other than during an open window trading period.</w:t>
      </w:r>
    </w:p>
    <w:p>
      <w:pPr>
        <w:spacing w:after="0" w:line="187" w:lineRule="exact"/>
        <w:rPr>
          <w:rFonts w:ascii="Times New Roman" w:cs="Times New Roman" w:eastAsia="Times New Roman" w:hAnsi="Times New Roman"/>
          <w:sz w:val="19"/>
          <w:szCs w:val="19"/>
          <w:color w:val="auto"/>
        </w:rPr>
      </w:pPr>
    </w:p>
    <w:p>
      <w:pPr>
        <w:ind w:left="1720" w:hanging="326"/>
        <w:spacing w:after="0" w:line="260"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Certain gifts of TTC securities. </w:t>
      </w:r>
      <w:r>
        <w:rPr>
          <w:rFonts w:ascii="Times New Roman" w:cs="Times New Roman" w:eastAsia="Times New Roman" w:hAnsi="Times New Roman"/>
          <w:sz w:val="20"/>
          <w:szCs w:val="20"/>
          <w:color w:val="auto"/>
        </w:rPr>
        <w:t>The gift of shares of TTC securities made by Restricted Persons may be allowed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discretion of the General Counsel where it is reasonably anticipated that the recipient of such gift will not immediately resell the TTC securities. Certain other gifts of TTC securities, as approved by the General Counsel, may be allowed as well.</w:t>
      </w:r>
    </w:p>
    <w:p>
      <w:pPr>
        <w:spacing w:after="0" w:line="23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Pre-Clearance</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No Director or Officer (or his or her related parties) or any individual identified as subject to this restriction by the General Counsel may engage in any transaction in TTC securities without first obtaining pre-clearance of the transaction from TTC’s General Counsel and Chief Financial Officer (except for trades made pursuant to a previously-approved Rule 10b5-1 plan). A request for pre-clearance should be submitted by using The Toro Company sign-off approval form and checklist for stock transactions (the “Form”), and the Form must be submitted to the General Counsel and Chief Financial Officer at least 48 hours prior to the desired trade date. The General Counsel and Chief Financial Officer will determine whether the transaction may proceed and, if so, will assist you in complying with applicable reporting requirements. If the General Counsel or Chief Financial Officer is</w:t>
      </w:r>
    </w:p>
    <w:p>
      <w:pPr>
        <w:sectPr>
          <w:pgSz w:w="11900" w:h="16838" w:orient="portrait"/>
          <w:cols w:equalWidth="0" w:num="1">
            <w:col w:w="11100"/>
          </w:cols>
          <w:pgMar w:left="320" w:top="1166"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unavailable, he or she will designate appropriate individuals at TTC to approve transactions in their absence.</w:t>
      </w:r>
    </w:p>
    <w:p>
      <w:pPr>
        <w:spacing w:after="0" w:line="239"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b w:val="1"/>
          <w:bCs w:val="1"/>
          <w:color w:val="auto"/>
        </w:rPr>
        <w:t>Approval by the General Counsel and Chief Financial Officer of a requested transaction submitted for pre-clearance does not constitute confirmation that you do not in fact possess material non-public information and does not relieve you of your legal obligations. Even after pre-clearance, you may not effect transactions in TTC securities if you become subject to a trading restriction period or become aware of material non-public information prior to the transaction being executed.</w:t>
      </w:r>
    </w:p>
    <w:p>
      <w:pPr>
        <w:spacing w:after="0" w:line="2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Pre-clearance of a transaction is generally valid for the period indicated on the Form, unless otherwise specified or earlier revoked. If the transaction is not effected in the manner or within the period indicated on the Form, pre-clearance of the transaction must be requested again. In order to assist you with timely reporting requirements to the SEC, you will endeavor to immediately report to the General Counsel all transactions made in TTC securities by you or your related parties.</w:t>
      </w:r>
    </w:p>
    <w:p>
      <w:pPr>
        <w:spacing w:after="0" w:line="222" w:lineRule="exact"/>
        <w:rPr>
          <w:sz w:val="20"/>
          <w:szCs w:val="20"/>
          <w:color w:val="auto"/>
        </w:rPr>
      </w:pPr>
    </w:p>
    <w:p>
      <w:pPr>
        <w:ind w:left="640" w:hanging="543"/>
        <w:spacing w:after="0"/>
        <w:tabs>
          <w:tab w:leader="none" w:pos="6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Additional Prohibitions</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 addition to the prohibitions set forth in the Policy, the following additional prohibitions apply:</w:t>
      </w:r>
    </w:p>
    <w:p>
      <w:pPr>
        <w:spacing w:after="0" w:line="239" w:lineRule="exact"/>
        <w:rPr>
          <w:sz w:val="20"/>
          <w:szCs w:val="20"/>
          <w:color w:val="auto"/>
        </w:rPr>
      </w:pPr>
    </w:p>
    <w:p>
      <w:pPr>
        <w:ind w:left="740" w:right="40" w:hanging="318"/>
        <w:spacing w:after="0" w:line="258" w:lineRule="auto"/>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TTC Retirement Plan trading suspension</w:t>
      </w:r>
      <w:r>
        <w:rPr>
          <w:rFonts w:ascii="Times New Roman" w:cs="Times New Roman" w:eastAsia="Times New Roman" w:hAnsi="Times New Roman"/>
          <w:sz w:val="20"/>
          <w:szCs w:val="20"/>
          <w:color w:val="auto"/>
        </w:rPr>
        <w:t>. Directors, Officers and Section 16 Individuals are prohibited from trading in TTC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in connection with a temporary suspension of trading by TTC or the plan fiduciary under the TTC Retirement Plan. Directors, Officers and Section 16 Individuals will be notified by the General Counsel when any such suspension occurs. Failure to comply with an applicable trading blackout in accordance with a Retirement Plan trading suspension is a violation of law and this Policy.</w:t>
      </w:r>
    </w:p>
    <w:p>
      <w:pPr>
        <w:spacing w:after="0" w:line="194" w:lineRule="exact"/>
        <w:rPr>
          <w:rFonts w:ascii="Times New Roman" w:cs="Times New Roman" w:eastAsia="Times New Roman" w:hAnsi="Times New Roman"/>
          <w:sz w:val="20"/>
          <w:szCs w:val="20"/>
          <w:color w:val="auto"/>
        </w:rPr>
      </w:pPr>
    </w:p>
    <w:p>
      <w:pPr>
        <w:ind w:left="740" w:hanging="318"/>
        <w:spacing w:after="0" w:line="287" w:lineRule="auto"/>
        <w:tabs>
          <w:tab w:leader="none" w:pos="7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Pledging.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and Officers are not allowed to purchase TTC securities on margin, borrow against any account in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TTC securities are held, or pledge TTC securities as collateral for a loan.</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b w:val="1"/>
          <w:bCs w:val="1"/>
          <w:color w:val="auto"/>
        </w:rPr>
        <w:t>Rule 10b5-1 Plans</w:t>
      </w:r>
    </w:p>
    <w:p>
      <w:pPr>
        <w:spacing w:after="0" w:line="269"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In addition to the requirements discussed in the Policy, Restricted Persons may only enter into or modify a Rule 10b5-1 plan at a time (i) when they are not aware of material non-public information, (ii) that is during an open window trading period, and (iii) when they are not subject to an event-specific trading restriction.</w:t>
      </w:r>
    </w:p>
    <w:p>
      <w:pPr>
        <w:sectPr>
          <w:pgSz w:w="11900" w:h="16838" w:orient="portrait"/>
          <w:cols w:equalWidth="0" w:num="1">
            <w:col w:w="10960"/>
          </w:cols>
          <w:pgMar w:left="320" w:top="1170" w:right="619" w:bottom="1440" w:gutter="0" w:footer="0" w:header="0"/>
        </w:sectPr>
      </w:pPr>
    </w:p>
    <w:bookmarkStart w:id="113" w:name="page114"/>
    <w:bookmarkEnd w:id="113"/>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102870</wp:posOffset>
            </wp:positionV>
            <wp:extent cx="6609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145" w:lineRule="exact"/>
        <w:rPr>
          <w:sz w:val="20"/>
          <w:szCs w:val="20"/>
          <w:color w:val="auto"/>
        </w:rPr>
      </w:pPr>
    </w:p>
    <w:p>
      <w:pPr>
        <w:ind w:left="520"/>
        <w:spacing w:after="0"/>
        <w:tabs>
          <w:tab w:leader="none" w:pos="4420" w:val="left"/>
          <w:tab w:leader="none" w:pos="83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State or Other Jurisdiction of Incorporation</w:t>
      </w:r>
      <w:r>
        <w:rPr>
          <w:sz w:val="20"/>
          <w:szCs w:val="20"/>
          <w:color w:val="auto"/>
        </w:rPr>
        <w:tab/>
      </w:r>
      <w:r>
        <w:rPr>
          <w:rFonts w:ascii="Times New Roman" w:cs="Times New Roman" w:eastAsia="Times New Roman" w:hAnsi="Times New Roman"/>
          <w:sz w:val="14"/>
          <w:szCs w:val="14"/>
          <w:b w:val="1"/>
          <w:bCs w:val="1"/>
          <w:color w:val="auto"/>
        </w:rPr>
        <w:t>Percentage of Voting Securities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33655</wp:posOffset>
            </wp:positionV>
            <wp:extent cx="6609080"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6609080" cy="231775"/>
                    </a:xfrm>
                    <a:prstGeom prst="rect">
                      <a:avLst/>
                    </a:prstGeom>
                    <a:noFill/>
                  </pic:spPr>
                </pic:pic>
              </a:graphicData>
            </a:graphic>
          </wp:anchor>
        </w:drawing>
      </w:r>
    </w:p>
    <w:p>
      <w:pPr>
        <w:sectPr>
          <w:pgSz w:w="11900" w:h="16962" w:orient="portrait"/>
          <w:cols w:equalWidth="0" w:num="1">
            <w:col w:w="11240"/>
          </w:cols>
          <w:pgMar w:left="320" w:top="769" w:right="339" w:bottom="0" w:gutter="0" w:footer="0" w:header="0"/>
        </w:sectPr>
      </w:pPr>
    </w:p>
    <w:p>
      <w:pPr>
        <w:spacing w:after="0" w:line="152"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Ditch Witch Barcelona DC, Inc.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Exmark Manufacturing Company Incorporated</w:t>
      </w:r>
      <w:r>
        <w:rPr>
          <w:sz w:val="20"/>
          <w:szCs w:val="20"/>
          <w:color w:val="auto"/>
        </w:rPr>
        <w:tab/>
      </w:r>
      <w:r>
        <w:rPr>
          <w:rFonts w:ascii="Times New Roman" w:cs="Times New Roman" w:eastAsia="Times New Roman" w:hAnsi="Times New Roman"/>
          <w:sz w:val="14"/>
          <w:szCs w:val="14"/>
          <w:color w:val="auto"/>
        </w:rPr>
        <w:t>Nebraska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Georgia Equipment Specialists, LLC</w:t>
      </w:r>
      <w:r>
        <w:rPr>
          <w:sz w:val="20"/>
          <w:szCs w:val="20"/>
          <w:color w:val="auto"/>
        </w:rPr>
        <w:tab/>
      </w:r>
      <w:r>
        <w:rPr>
          <w:rFonts w:ascii="Times New Roman" w:cs="Times New Roman" w:eastAsia="Times New Roman" w:hAnsi="Times New Roman"/>
          <w:sz w:val="14"/>
          <w:szCs w:val="14"/>
          <w:color w:val="auto"/>
        </w:rPr>
        <w:t>Georgia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Hayter Holdings Limited</w:t>
      </w:r>
      <w:r>
        <w:rPr>
          <w:sz w:val="20"/>
          <w:szCs w:val="20"/>
          <w:color w:val="auto"/>
        </w:rPr>
        <w:tab/>
      </w:r>
      <w:r>
        <w:rPr>
          <w:rFonts w:ascii="Times New Roman" w:cs="Times New Roman" w:eastAsia="Times New Roman" w:hAnsi="Times New Roman"/>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International Underground Systems, SL</w:t>
      </w:r>
      <w:r>
        <w:rPr>
          <w:sz w:val="20"/>
          <w:szCs w:val="20"/>
          <w:color w:val="auto"/>
        </w:rPr>
        <w:tab/>
      </w: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Intimidator, LLC</w:t>
      </w:r>
      <w:r>
        <w:rPr>
          <w:sz w:val="20"/>
          <w:szCs w:val="20"/>
          <w:color w:val="auto"/>
        </w:rPr>
        <w:tab/>
      </w:r>
      <w:r>
        <w:rPr>
          <w:rFonts w:ascii="Times New Roman" w:cs="Times New Roman" w:eastAsia="Times New Roman" w:hAnsi="Times New Roman"/>
          <w:sz w:val="13"/>
          <w:szCs w:val="13"/>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32385</wp:posOffset>
            </wp:positionV>
            <wp:extent cx="6609080"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16"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Irritrol Systems Europe Productions S.r.l.</w:t>
      </w:r>
      <w:r>
        <w:rPr>
          <w:sz w:val="20"/>
          <w:szCs w:val="20"/>
          <w:color w:val="auto"/>
        </w:rPr>
        <w:tab/>
      </w:r>
      <w:r>
        <w:rPr>
          <w:rFonts w:ascii="Times New Roman" w:cs="Times New Roman" w:eastAsia="Times New Roman" w:hAnsi="Times New Roman"/>
          <w:sz w:val="14"/>
          <w:szCs w:val="14"/>
          <w:color w:val="auto"/>
        </w:rPr>
        <w:t>Italy</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Irritrol Systems Europe S.r.l.</w:t>
      </w:r>
      <w:r>
        <w:rPr>
          <w:sz w:val="20"/>
          <w:szCs w:val="20"/>
          <w:color w:val="auto"/>
        </w:rPr>
        <w:tab/>
      </w:r>
      <w:r>
        <w:rPr>
          <w:rFonts w:ascii="Times New Roman" w:cs="Times New Roman" w:eastAsia="Times New Roman" w:hAnsi="Times New Roman"/>
          <w:sz w:val="14"/>
          <w:szCs w:val="14"/>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Michigan Underground Specialists, LLC</w:t>
      </w:r>
      <w:r>
        <w:rPr>
          <w:sz w:val="20"/>
          <w:szCs w:val="20"/>
          <w:color w:val="auto"/>
        </w:rPr>
        <w:tab/>
      </w:r>
      <w:r>
        <w:rPr>
          <w:rFonts w:ascii="Times New Roman" w:cs="Times New Roman" w:eastAsia="Times New Roman" w:hAnsi="Times New Roman"/>
          <w:sz w:val="14"/>
          <w:szCs w:val="14"/>
          <w:color w:val="auto"/>
        </w:rPr>
        <w:t>Michigan</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MTI Distributing, Inc.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Perrot-Polska s.p. zoo</w:t>
      </w:r>
      <w:r>
        <w:rPr>
          <w:sz w:val="20"/>
          <w:szCs w:val="20"/>
          <w:color w:val="auto"/>
        </w:rPr>
        <w:tab/>
      </w:r>
      <w:r>
        <w:rPr>
          <w:rFonts w:ascii="Times New Roman" w:cs="Times New Roman" w:eastAsia="Times New Roman" w:hAnsi="Times New Roman"/>
          <w:sz w:val="14"/>
          <w:szCs w:val="14"/>
          <w:color w:val="auto"/>
        </w:rPr>
        <w:t>Poland</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Radius HDD Direct LLC</w:t>
      </w:r>
      <w:r>
        <w:rPr>
          <w:sz w:val="20"/>
          <w:szCs w:val="20"/>
          <w:color w:val="auto"/>
        </w:rPr>
        <w:tab/>
      </w:r>
      <w:r>
        <w:rPr>
          <w:rFonts w:ascii="Times New Roman" w:cs="Times New Roman" w:eastAsia="Times New Roman" w:hAnsi="Times New Roman"/>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Rain Master Irrigation Systems, Inc.</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Red Iron Acceptance,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Red Iron Holding Corporation</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Regnerbau Calw GmbH</w:t>
      </w:r>
      <w:r>
        <w:rPr>
          <w:sz w:val="20"/>
          <w:szCs w:val="20"/>
          <w:color w:val="auto"/>
        </w:rPr>
        <w:tab/>
      </w:r>
      <w:r>
        <w:rPr>
          <w:rFonts w:ascii="Times New Roman" w:cs="Times New Roman" w:eastAsia="Times New Roman" w:hAnsi="Times New Roman"/>
          <w:sz w:val="13"/>
          <w:szCs w:val="13"/>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Spartan Mowers, LLC</w:t>
      </w:r>
      <w:r>
        <w:rPr>
          <w:sz w:val="20"/>
          <w:szCs w:val="20"/>
          <w:color w:val="auto"/>
        </w:rPr>
        <w:tab/>
      </w:r>
      <w:r>
        <w:rPr>
          <w:rFonts w:ascii="Times New Roman" w:cs="Times New Roman" w:eastAsia="Times New Roman" w:hAnsi="Times New Roman"/>
          <w:sz w:val="13"/>
          <w:szCs w:val="13"/>
          <w:color w:val="auto"/>
        </w:rPr>
        <w:t>Arkansas</w:t>
      </w:r>
    </w:p>
    <w:p>
      <w:pPr>
        <w:spacing w:after="0" w:line="136"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Texas Underground Xperts, Inc.</w:t>
      </w:r>
      <w:r>
        <w:rPr>
          <w:sz w:val="20"/>
          <w:szCs w:val="20"/>
          <w:color w:val="auto"/>
        </w:rPr>
        <w:tab/>
      </w:r>
      <w:r>
        <w:rPr>
          <w:rFonts w:ascii="Times New Roman" w:cs="Times New Roman" w:eastAsia="Times New Roman" w:hAnsi="Times New Roman"/>
          <w:sz w:val="13"/>
          <w:szCs w:val="13"/>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The Charles Machine Works, Inc.</w:t>
      </w:r>
      <w:r>
        <w:rPr>
          <w:sz w:val="20"/>
          <w:szCs w:val="20"/>
          <w:color w:val="auto"/>
        </w:rPr>
        <w:tab/>
      </w:r>
      <w:r>
        <w:rPr>
          <w:rFonts w:ascii="Times New Roman" w:cs="Times New Roman" w:eastAsia="Times New Roman" w:hAnsi="Times New Roman"/>
          <w:sz w:val="14"/>
          <w:szCs w:val="14"/>
          <w:color w:val="auto"/>
        </w:rPr>
        <w:t>Oklahoma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The Holiman Co. Inc.</w:t>
      </w:r>
      <w:r>
        <w:rPr>
          <w:sz w:val="20"/>
          <w:szCs w:val="20"/>
          <w:color w:val="auto"/>
        </w:rPr>
        <w:tab/>
      </w:r>
      <w:r>
        <w:rPr>
          <w:rFonts w:ascii="Times New Roman" w:cs="Times New Roman" w:eastAsia="Times New Roman" w:hAnsi="Times New Roman"/>
          <w:sz w:val="14"/>
          <w:szCs w:val="14"/>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The ShopToro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The Toro Company (Asia)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The Toro Company (Canada), Inc.</w:t>
      </w:r>
      <w:r>
        <w:rPr>
          <w:sz w:val="20"/>
          <w:szCs w:val="20"/>
          <w:color w:val="auto"/>
        </w:rPr>
        <w:tab/>
      </w:r>
      <w:r>
        <w:rPr>
          <w:rFonts w:ascii="Times New Roman" w:cs="Times New Roman" w:eastAsia="Times New Roman" w:hAnsi="Times New Roman"/>
          <w:sz w:val="14"/>
          <w:szCs w:val="14"/>
          <w:color w:val="auto"/>
        </w:rPr>
        <w:t>New Brunswick, Canada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(China) Irrigation Equipment Co., Ltd.</w:t>
      </w:r>
      <w:r>
        <w:rPr>
          <w:sz w:val="20"/>
          <w:szCs w:val="20"/>
          <w:color w:val="auto"/>
        </w:rPr>
        <w:tab/>
      </w:r>
      <w:r>
        <w:rPr>
          <w:rFonts w:ascii="Times New Roman" w:cs="Times New Roman" w:eastAsia="Times New Roman" w:hAnsi="Times New Roman"/>
          <w:sz w:val="14"/>
          <w:szCs w:val="14"/>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Australia Group Sales Pty. Ltd.</w:t>
      </w:r>
      <w:r>
        <w:rPr>
          <w:sz w:val="20"/>
          <w:szCs w:val="20"/>
          <w:color w:val="auto"/>
        </w:rPr>
        <w:tab/>
      </w:r>
      <w:r>
        <w:rPr>
          <w:rFonts w:ascii="Times New Roman" w:cs="Times New Roman" w:eastAsia="Times New Roman" w:hAnsi="Times New Roman"/>
          <w:sz w:val="14"/>
          <w:szCs w:val="14"/>
          <w:color w:val="auto"/>
        </w:rPr>
        <w:t>Australia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Australia Pty. Limited</w:t>
      </w:r>
      <w:r>
        <w:rPr>
          <w:sz w:val="20"/>
          <w:szCs w:val="20"/>
          <w:color w:val="auto"/>
        </w:rPr>
        <w:tab/>
      </w:r>
      <w:r>
        <w:rPr>
          <w:rFonts w:ascii="Times New Roman" w:cs="Times New Roman" w:eastAsia="Times New Roman" w:hAnsi="Times New Roman"/>
          <w:sz w:val="14"/>
          <w:szCs w:val="14"/>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Company de Mexico, S. de R.L. de C.V.</w:t>
      </w:r>
      <w:r>
        <w:rPr>
          <w:sz w:val="20"/>
          <w:szCs w:val="20"/>
          <w:color w:val="auto"/>
        </w:rPr>
        <w:tab/>
      </w:r>
      <w:r>
        <w:rPr>
          <w:rFonts w:ascii="Times New Roman" w:cs="Times New Roman" w:eastAsia="Times New Roman" w:hAnsi="Times New Roman"/>
          <w:sz w:val="14"/>
          <w:szCs w:val="14"/>
          <w:color w:val="auto"/>
        </w:rPr>
        <w:t>Mexico</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Credit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Europe N.V.</w:t>
      </w:r>
      <w:r>
        <w:rPr>
          <w:sz w:val="20"/>
          <w:szCs w:val="20"/>
          <w:color w:val="auto"/>
        </w:rPr>
        <w:tab/>
      </w:r>
      <w:r>
        <w:rPr>
          <w:rFonts w:ascii="Times New Roman" w:cs="Times New Roman" w:eastAsia="Times New Roman" w:hAnsi="Times New Roman"/>
          <w:sz w:val="13"/>
          <w:szCs w:val="13"/>
          <w:color w:val="auto"/>
        </w:rPr>
        <w:t>Belgium</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Finance Company</w:t>
      </w:r>
      <w:r>
        <w:rPr>
          <w:sz w:val="20"/>
          <w:szCs w:val="20"/>
          <w:color w:val="auto"/>
        </w:rPr>
        <w:tab/>
      </w:r>
      <w:r>
        <w:rPr>
          <w:rFonts w:ascii="Times New Roman" w:cs="Times New Roman" w:eastAsia="Times New Roman" w:hAnsi="Times New Roman"/>
          <w:sz w:val="14"/>
          <w:szCs w:val="14"/>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Finance Ltd.</w:t>
      </w:r>
      <w:r>
        <w:rPr>
          <w:sz w:val="20"/>
          <w:szCs w:val="20"/>
          <w:color w:val="auto"/>
        </w:rPr>
        <w:tab/>
      </w:r>
      <w:r>
        <w:rPr>
          <w:rFonts w:ascii="Times New Roman" w:cs="Times New Roman" w:eastAsia="Times New Roman" w:hAnsi="Times New Roman"/>
          <w:sz w:val="14"/>
          <w:szCs w:val="14"/>
          <w:color w:val="auto"/>
        </w:rPr>
        <w:t>Cayman Islands</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Germany I GmbH</w:t>
      </w:r>
      <w:r>
        <w:rPr>
          <w:sz w:val="20"/>
          <w:szCs w:val="20"/>
          <w:color w:val="auto"/>
        </w:rPr>
        <w:tab/>
      </w:r>
      <w:r>
        <w:rPr>
          <w:rFonts w:ascii="Times New Roman" w:cs="Times New Roman" w:eastAsia="Times New Roman" w:hAnsi="Times New Roman"/>
          <w:sz w:val="13"/>
          <w:szCs w:val="13"/>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Global Services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International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LLC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Luxembourg S.à.r.l.</w:t>
      </w:r>
      <w:r>
        <w:rPr>
          <w:sz w:val="20"/>
          <w:szCs w:val="20"/>
          <w:color w:val="auto"/>
        </w:rPr>
        <w:tab/>
      </w:r>
      <w:r>
        <w:rPr>
          <w:rFonts w:ascii="Times New Roman" w:cs="Times New Roman" w:eastAsia="Times New Roman" w:hAnsi="Times New Roman"/>
          <w:sz w:val="14"/>
          <w:szCs w:val="14"/>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Management Holdings, LLC</w:t>
      </w:r>
      <w:r>
        <w:rPr>
          <w:sz w:val="20"/>
          <w:szCs w:val="20"/>
          <w:color w:val="auto"/>
        </w:rPr>
        <w:tab/>
      </w:r>
      <w:r>
        <w:rPr>
          <w:rFonts w:ascii="Times New Roman" w:cs="Times New Roman" w:eastAsia="Times New Roman" w:hAnsi="Times New Roman"/>
          <w:sz w:val="14"/>
          <w:szCs w:val="14"/>
          <w:color w:val="auto"/>
        </w:rPr>
        <w:t>Delaware</w:t>
      </w:r>
    </w:p>
    <w:p>
      <w:pPr>
        <w:spacing w:after="0" w:line="136"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Manufacturing and Sales, S.R.L.</w:t>
      </w:r>
      <w:r>
        <w:rPr>
          <w:sz w:val="20"/>
          <w:szCs w:val="20"/>
          <w:color w:val="auto"/>
        </w:rPr>
        <w:tab/>
      </w:r>
      <w:r>
        <w:rPr>
          <w:rFonts w:ascii="Times New Roman" w:cs="Times New Roman" w:eastAsia="Times New Roman" w:hAnsi="Times New Roman"/>
          <w:sz w:val="14"/>
          <w:szCs w:val="14"/>
          <w:color w:val="auto"/>
        </w:rPr>
        <w:t>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222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Manufacturing LLC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Mexico Holdings LLC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66675</wp:posOffset>
            </wp:positionV>
            <wp:extent cx="660908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Mexico Sales S de R.L. de C.V.</w:t>
      </w:r>
      <w:r>
        <w:rPr>
          <w:sz w:val="20"/>
          <w:szCs w:val="20"/>
          <w:color w:val="auto"/>
        </w:rPr>
        <w:tab/>
      </w:r>
      <w:r>
        <w:rPr>
          <w:rFonts w:ascii="Times New Roman" w:cs="Times New Roman" w:eastAsia="Times New Roman" w:hAnsi="Times New Roman"/>
          <w:sz w:val="14"/>
          <w:szCs w:val="14"/>
          <w:color w:val="auto"/>
        </w:rPr>
        <w:t>Mexico</w:t>
      </w:r>
    </w:p>
    <w:p>
      <w:pPr>
        <w:spacing w:after="0" w:line="55"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Principal Manufacturing (Singapore)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32385</wp:posOffset>
            </wp:positionV>
            <wp:extent cx="6609080" cy="2228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16" w:lineRule="exact"/>
        <w:rPr>
          <w:sz w:val="20"/>
          <w:szCs w:val="20"/>
          <w:color w:val="auto"/>
        </w:r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Purchasing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4"/>
          <w:szCs w:val="14"/>
          <w:color w:val="auto"/>
        </w:rPr>
        <w:t>45%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148" w:lineRule="exact"/>
        <w:rPr>
          <w:sz w:val="20"/>
          <w:szCs w:val="20"/>
          <w:color w:val="auto"/>
        </w:rPr>
      </w:pPr>
    </w:p>
    <w:p>
      <w:pPr>
        <w:sectPr>
          <w:pgSz w:w="11900" w:h="16962" w:orient="portrait"/>
          <w:cols w:equalWidth="0" w:num="2">
            <w:col w:w="9640" w:space="720"/>
            <w:col w:w="880"/>
          </w:cols>
          <w:pgMar w:left="320" w:top="769" w:right="339" w:bottom="0" w:gutter="0" w:footer="0" w:header="0"/>
          <w:type w:val="continuous"/>
        </w:sectPr>
      </w:pPr>
    </w:p>
    <w:p>
      <w:pPr>
        <w:ind w:left="540"/>
        <w:spacing w:after="0"/>
        <w:tabs>
          <w:tab w:leader="none" w:pos="4460" w:val="left"/>
        </w:tabs>
        <w:rPr>
          <w:sz w:val="20"/>
          <w:szCs w:val="20"/>
          <w:color w:val="auto"/>
        </w:rPr>
      </w:pPr>
      <w:r>
        <w:rPr>
          <w:rFonts w:ascii="Times New Roman" w:cs="Times New Roman" w:eastAsia="Times New Roman" w:hAnsi="Times New Roman"/>
          <w:sz w:val="14"/>
          <w:szCs w:val="14"/>
          <w:color w:val="auto"/>
        </w:rPr>
        <w:t>Toro R&amp;D Company</w:t>
      </w:r>
      <w:r>
        <w:rPr>
          <w:sz w:val="20"/>
          <w:szCs w:val="20"/>
          <w:color w:val="auto"/>
        </w:rPr>
        <w:tab/>
      </w:r>
      <w:r>
        <w:rPr>
          <w:rFonts w:ascii="Times New Roman" w:cs="Times New Roman" w:eastAsia="Times New Roman" w:hAnsi="Times New Roman"/>
          <w:sz w:val="14"/>
          <w:szCs w:val="14"/>
          <w:color w:val="auto"/>
        </w:rPr>
        <w:t>Minnesota</w:t>
      </w:r>
    </w:p>
    <w:p>
      <w:pPr>
        <w:sectPr>
          <w:pgSz w:w="11900" w:h="16962" w:orient="portrait"/>
          <w:cols w:equalWidth="0" w:num="1">
            <w:col w:w="11240"/>
          </w:cols>
          <w:pgMar w:left="320" w:top="769" w:right="339" w:bottom="0" w:gutter="0" w:footer="0" w:header="0"/>
          <w:type w:val="continuous"/>
        </w:sectPr>
      </w:pPr>
    </w:p>
    <w:bookmarkStart w:id="114" w:name="page115"/>
    <w:bookmarkEnd w:id="114"/>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182880</wp:posOffset>
            </wp:positionV>
            <wp:extent cx="6609080"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Toro Sales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Toro Technology Center India LLP</w:t>
      </w:r>
      <w:r>
        <w:rPr>
          <w:sz w:val="20"/>
          <w:szCs w:val="20"/>
          <w:color w:val="auto"/>
        </w:rPr>
        <w:tab/>
      </w:r>
      <w:r>
        <w:rPr>
          <w:rFonts w:ascii="Times New Roman" w:cs="Times New Roman" w:eastAsia="Times New Roman" w:hAnsi="Times New Roman"/>
          <w:sz w:val="13"/>
          <w:szCs w:val="13"/>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66675</wp:posOffset>
            </wp:positionV>
            <wp:extent cx="660908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Toro U.K. Limited</w:t>
      </w:r>
      <w:r>
        <w:rPr>
          <w:sz w:val="20"/>
          <w:szCs w:val="20"/>
          <w:color w:val="auto"/>
        </w:rPr>
        <w:tab/>
      </w:r>
      <w:r>
        <w:rPr>
          <w:rFonts w:ascii="Times New Roman" w:cs="Times New Roman" w:eastAsia="Times New Roman" w:hAnsi="Times New Roman"/>
          <w:sz w:val="14"/>
          <w:szCs w:val="14"/>
          <w:color w:val="auto"/>
        </w:rPr>
        <w:t>United Kingdom</w:t>
      </w:r>
    </w:p>
    <w:p>
      <w:pPr>
        <w:spacing w:after="0" w:line="19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Toro Warranty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66675</wp:posOffset>
            </wp:positionV>
            <wp:extent cx="660908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660908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Tover Overseas B.V.</w:t>
      </w:r>
      <w:r>
        <w:rPr>
          <w:sz w:val="20"/>
          <w:szCs w:val="20"/>
          <w:color w:val="auto"/>
        </w:rPr>
        <w:tab/>
      </w:r>
      <w:r>
        <w:rPr>
          <w:rFonts w:ascii="Times New Roman" w:cs="Times New Roman" w:eastAsia="Times New Roman" w:hAnsi="Times New Roman"/>
          <w:sz w:val="14"/>
          <w:szCs w:val="14"/>
          <w:color w:val="auto"/>
        </w:rPr>
        <w:t>Netherlands</w:t>
      </w:r>
    </w:p>
    <w:p>
      <w:pPr>
        <w:spacing w:after="0" w:line="19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Tover Overseas I C.V.</w:t>
      </w:r>
      <w:r>
        <w:rPr>
          <w:sz w:val="20"/>
          <w:szCs w:val="20"/>
          <w:color w:val="auto"/>
        </w:rPr>
        <w:tab/>
      </w:r>
      <w:r>
        <w:rPr>
          <w:rFonts w:ascii="Times New Roman" w:cs="Times New Roman" w:eastAsia="Times New Roman" w:hAnsi="Times New Roman"/>
          <w:sz w:val="14"/>
          <w:szCs w:val="14"/>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66675</wp:posOffset>
            </wp:positionV>
            <wp:extent cx="660908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6609080" cy="137160"/>
                    </a:xfrm>
                    <a:prstGeom prst="rect">
                      <a:avLst/>
                    </a:prstGeom>
                    <a:noFill/>
                  </pic:spPr>
                </pic:pic>
              </a:graphicData>
            </a:graphic>
          </wp:anchor>
        </w:drawing>
      </w:r>
    </w:p>
    <w:p>
      <w:pPr>
        <w:spacing w:after="0" w:line="89"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Turflynx, Unipessoal Lda</w:t>
      </w:r>
      <w:r>
        <w:rPr>
          <w:sz w:val="20"/>
          <w:szCs w:val="20"/>
          <w:color w:val="auto"/>
        </w:rPr>
        <w:tab/>
      </w:r>
      <w:r>
        <w:rPr>
          <w:rFonts w:ascii="Times New Roman" w:cs="Times New Roman" w:eastAsia="Times New Roman" w:hAnsi="Times New Roman"/>
          <w:sz w:val="14"/>
          <w:szCs w:val="14"/>
          <w:color w:val="auto"/>
        </w:rPr>
        <w:t>Portugal</w:t>
      </w:r>
    </w:p>
    <w:p>
      <w:pPr>
        <w:spacing w:after="0" w:line="55"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4"/>
          <w:szCs w:val="14"/>
          <w:color w:val="auto"/>
        </w:rPr>
        <w:t>Venture Products, Inc.</w:t>
      </w:r>
      <w:r>
        <w:rPr>
          <w:sz w:val="20"/>
          <w:szCs w:val="20"/>
          <w:color w:val="auto"/>
        </w:rPr>
        <w:tab/>
      </w:r>
      <w:r>
        <w:rPr>
          <w:rFonts w:ascii="Times New Roman" w:cs="Times New Roman" w:eastAsia="Times New Roman" w:hAnsi="Times New Roman"/>
          <w:sz w:val="14"/>
          <w:szCs w:val="14"/>
          <w:color w:val="auto"/>
        </w:rPr>
        <w:t>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32385</wp:posOffset>
            </wp:positionV>
            <wp:extent cx="66090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2">
            <w:col w:w="9100" w:space="720"/>
            <w:col w:w="320"/>
          </w:cols>
          <w:pgMar w:left="860" w:top="78" w:right="8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333-263792, 333-47260, 333-89260, 333-119504, 033-59563, 333-11860, 333-100004, 333-87461, 333-165582, 333-204336, and 333-215251) on Form S-8 of our report dated December 18, 2024, with respect to the consolidated financial statements of The Toro Company and the effectiveness of internal control over financial reporting.</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18, 2024</w:t>
      </w:r>
    </w:p>
    <w:p>
      <w:pPr>
        <w:sectPr>
          <w:pgSz w:w="11900" w:h="16838" w:orient="portrait"/>
          <w:cols w:equalWidth="0" w:num="1">
            <w:col w:w="11240"/>
          </w:cols>
          <w:pgMar w:left="320" w:top="891" w:right="339" w:bottom="1440" w:gutter="0" w:footer="0" w:header="0"/>
        </w:sectPr>
      </w:pPr>
    </w:p>
    <w:bookmarkStart w:id="116" w:name="page117"/>
    <w:bookmarkEnd w:id="116"/>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24.1</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directors of The Toro Company, a Delaware corporation (the “Company”), hereby authorize and appoint Richard M. Olson and Angela C. Drake, each of them severally, the individual’s true and lawful attorneys-in-fact and agents, with power to act with or without the other, and with full power of substitution and resubstitution, for the person and in his or her name, place and stead, in any and all capacities, to sign the Annual Report on Form 10-K for the fiscal year ended October 31, 2024, to be filed by the Company pursuant to the Securities and Exchange Act of 1934, as amended, and any and all amendments thereto, including any and all other documents in connection therewith to be filed with the U.S. Securities and Exchange Commission (the “SEC”), and to file the same, with all exhibits thereto and other supporting documents, with the SEC.</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said attorneys-in-fact and agents, and each of them, full power and authority to do and perform each and every act and thing requisite and necessary to be done in and about the premises, as fully to all intents and purposes as the undersigned might or could do in person, hereby ratifying and confirming that said attorneys-in-fact and agents, or any of them, or their or his or her substitutes or substitute,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10, 2024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/s/Dianne C. Craig</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Dianne C. Craig</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/s/Gary L. Ellis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L. Ellis</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/s/Eric P. Hansotia</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Eric P. Hansotia</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/s/Jeffrey L. Harmening</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Jeffrey L. Harmening</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/s/D. Christian Koch</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 Christian Koch</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/s/Joyce A. Mullen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Joyce A. Mullen</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/s/James C. O’Rourke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James C. O'Rourke</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/s/Jill M. Pemberton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6"/>
        </w:trPr>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Jill M. Pemberton</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C. Drake, certify that:</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The Toro Company (the “Company”) for the fiscal year ended October 31, 2024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lowerRoman"/>
      <w:start w:val="3"/>
    </w:lvl>
  </w:abstractNum>
  <w:abstractNum w:abstractNumId="16">
    <w:nsid w:val="6A2342EC"/>
    <w:multiLevelType w:val="hybridMultilevel"/>
    <w:lvl w:ilvl="0">
      <w:lvlJc w:val="left"/>
      <w:lvlText w:val="1"/>
      <w:numFmt w:val="bullet"/>
      <w:start w:val="1"/>
    </w:lvl>
  </w:abstractNum>
  <w:abstractNum w:abstractNumId="17">
    <w:nsid w:val="2A487CB0"/>
    <w:multiLevelType w:val="hybridMultilevel"/>
    <w:lvl w:ilvl="0">
      <w:lvlJc w:val="left"/>
      <w:lvlText w:val="2"/>
      <w:numFmt w:val="bullet"/>
      <w:start w:val="1"/>
    </w:lvl>
  </w:abstractNum>
  <w:abstractNum w:abstractNumId="18">
    <w:nsid w:val="1D4ED43B"/>
    <w:multiLevelType w:val="hybridMultilevel"/>
    <w:lvl w:ilvl="0">
      <w:lvlJc w:val="left"/>
      <w:lvlText w:val="3"/>
      <w:numFmt w:val="bullet"/>
      <w:start w:val="1"/>
    </w:lvl>
  </w:abstractNum>
  <w:abstractNum w:abstractNumId="19">
    <w:nsid w:val="725A06FB"/>
    <w:multiLevelType w:val="hybridMultilevel"/>
    <w:lvl w:ilvl="0">
      <w:lvlJc w:val="left"/>
      <w:lvlText w:val="4"/>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bullet"/>
      <w:start w:val="1"/>
    </w:lvl>
  </w:abstractNum>
  <w:abstractNum w:abstractNumId="25">
    <w:nsid w:val="6DE91B18"/>
    <w:multiLevelType w:val="hybridMultilevel"/>
    <w:lvl w:ilvl="0">
      <w:lvlJc w:val="left"/>
      <w:lvlText w:val="2"/>
      <w:numFmt w:val="bullet"/>
      <w:start w:val="1"/>
    </w:lvl>
  </w:abstractNum>
  <w:abstractNum w:abstractNumId="26">
    <w:nsid w:val="38437FDB"/>
    <w:multiLevelType w:val="hybridMultilevel"/>
    <w:lvl w:ilvl="0">
      <w:lvlJc w:val="left"/>
      <w:lvlText w:val="3"/>
      <w:numFmt w:val="bullet"/>
      <w:start w:val="1"/>
    </w:lvl>
  </w:abstractNum>
  <w:abstractNum w:abstractNumId="27">
    <w:nsid w:val="7644A45C"/>
    <w:multiLevelType w:val="hybridMultilevel"/>
    <w:lvl w:ilvl="0">
      <w:lvlJc w:val="left"/>
      <w:lvlText w:val="4"/>
      <w:numFmt w:val="bullet"/>
      <w:start w:val="1"/>
    </w:lvl>
  </w:abstractNum>
  <w:abstractNum w:abstractNumId="28">
    <w:nsid w:val="32FFF902"/>
    <w:multiLevelType w:val="hybridMultilevel"/>
    <w:lvl w:ilvl="0">
      <w:lvlJc w:val="left"/>
      <w:lvlText w:val="5"/>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2"/>
      <w:numFmt w:val="bullet"/>
      <w:start w:val="1"/>
    </w:lvl>
  </w:abstractNum>
  <w:abstractNum w:abstractNumId="35">
    <w:nsid w:val="75C6C33A"/>
    <w:multiLevelType w:val="hybridMultilevel"/>
    <w:lvl w:ilvl="0">
      <w:lvlJc w:val="left"/>
      <w:lvlText w:val="3"/>
      <w:numFmt w:val="bullet"/>
      <w:start w:val="1"/>
    </w:lvl>
  </w:abstractNum>
  <w:abstractNum w:abstractNumId="36">
    <w:nsid w:val="12E685FB"/>
    <w:multiLevelType w:val="hybridMultilevel"/>
    <w:lvl w:ilvl="0">
      <w:lvlJc w:val="left"/>
      <w:lvlText w:val="1"/>
      <w:numFmt w:val="bullet"/>
      <w:start w:val="1"/>
    </w:lvl>
  </w:abstractNum>
  <w:abstractNum w:abstractNumId="37">
    <w:nsid w:val="70C6A529"/>
    <w:multiLevelType w:val="hybridMultilevel"/>
    <w:lvl w:ilvl="0">
      <w:lvlJc w:val="left"/>
      <w:lvlText w:val="4"/>
      <w:numFmt w:val="bullet"/>
      <w:start w:val="1"/>
    </w:lvl>
  </w:abstractNum>
  <w:abstractNum w:abstractNumId="38">
    <w:nsid w:val="520EEDD1"/>
    <w:multiLevelType w:val="hybridMultilevel"/>
    <w:lvl w:ilvl="0">
      <w:lvlJc w:val="left"/>
      <w:lvlText w:val="5"/>
      <w:numFmt w:val="bullet"/>
      <w:start w:val="1"/>
    </w:lvl>
  </w:abstractNum>
  <w:abstractNum w:abstractNumId="39">
    <w:nsid w:val="374A3FE6"/>
    <w:multiLevelType w:val="hybridMultilevel"/>
    <w:lvl w:ilvl="0">
      <w:lvlJc w:val="left"/>
      <w:lvlText w:val="7"/>
      <w:numFmt w:val="bullet"/>
      <w:start w:val="1"/>
    </w:lvl>
  </w:abstractNum>
  <w:abstractNum w:abstractNumId="40">
    <w:nsid w:val="4F4EF005"/>
    <w:multiLevelType w:val="hybridMultilevel"/>
    <w:lvl w:ilvl="0">
      <w:lvlJc w:val="left"/>
      <w:lvlText w:val="1"/>
      <w:numFmt w:val="bullet"/>
      <w:start w:val="1"/>
    </w:lvl>
  </w:abstractNum>
  <w:abstractNum w:abstractNumId="41">
    <w:nsid w:val="23F9C13C"/>
    <w:multiLevelType w:val="hybridMultilevel"/>
    <w:lvl w:ilvl="0">
      <w:lvlJc w:val="left"/>
      <w:lvlText w:val="9"/>
      <w:numFmt w:val="bullet"/>
      <w:start w:val="1"/>
    </w:lvl>
  </w:abstractNum>
  <w:abstractNum w:abstractNumId="42">
    <w:nsid w:val="649BB77C"/>
    <w:multiLevelType w:val="hybridMultilevel"/>
    <w:lvl w:ilvl="0">
      <w:lvlJc w:val="left"/>
      <w:lvlText w:val="1"/>
      <w:numFmt w:val="bullet"/>
      <w:start w:val="1"/>
    </w:lvl>
  </w:abstractNum>
  <w:abstractNum w:abstractNumId="43">
    <w:nsid w:val="275AC794"/>
    <w:multiLevelType w:val="hybridMultilevel"/>
    <w:lvl w:ilvl="0">
      <w:lvlJc w:val="left"/>
      <w:lvlText w:val="(%1)"/>
      <w:numFmt w:val="lowerLetter"/>
      <w:start w:val="1"/>
    </w:lvl>
    <w:lvl w:ilvl="1">
      <w:lvlJc w:val="left"/>
      <w:lvlText w:val="%2."/>
      <w:numFmt w:val="decimal"/>
      <w:start w:val="1"/>
    </w:lvl>
  </w:abstractNum>
  <w:abstractNum w:abstractNumId="44">
    <w:nsid w:val="39386575"/>
    <w:multiLevelType w:val="hybridMultilevel"/>
    <w:lvl w:ilvl="0">
      <w:lvlJc w:val="left"/>
      <w:lvlText w:val="%1."/>
      <w:numFmt w:val="decimal"/>
      <w:start w:val="2"/>
    </w:lvl>
  </w:abstractNum>
  <w:abstractNum w:abstractNumId="45">
    <w:nsid w:val="1CF10FD8"/>
    <w:multiLevelType w:val="hybridMultilevel"/>
    <w:lvl w:ilvl="0">
      <w:lvlJc w:val="left"/>
      <w:lvlText w:val="%1"/>
      <w:numFmt w:val="decimal"/>
      <w:start w:val="19"/>
    </w:lvl>
  </w:abstractNum>
  <w:abstractNum w:abstractNumId="46">
    <w:nsid w:val="180115BE"/>
    <w:multiLevelType w:val="hybridMultilevel"/>
    <w:lvl w:ilvl="0">
      <w:lvlJc w:val="left"/>
      <w:lvlText w:val="%1"/>
      <w:numFmt w:val="decimal"/>
      <w:start w:val="21"/>
    </w:lvl>
  </w:abstractNum>
  <w:abstractNum w:abstractNumId="47">
    <w:nsid w:val="235BA861"/>
    <w:multiLevelType w:val="hybridMultilevel"/>
    <w:lvl w:ilvl="0">
      <w:lvlJc w:val="left"/>
      <w:lvlText w:val="%1"/>
      <w:numFmt w:val="decimal"/>
      <w:start w:val="32"/>
    </w:lvl>
  </w:abstractNum>
  <w:abstractNum w:abstractNumId="48">
    <w:nsid w:val="47398C89"/>
    <w:multiLevelType w:val="hybridMultilevel"/>
    <w:lvl w:ilvl="0">
      <w:lvlJc w:val="left"/>
      <w:lvlText w:val="%1"/>
      <w:numFmt w:val="decimal"/>
      <w:start w:val="97"/>
    </w:lvl>
  </w:abstractNum>
  <w:abstractNum w:abstractNumId="49">
    <w:nsid w:val="354FE9F9"/>
    <w:multiLevelType w:val="hybridMultilevel"/>
    <w:lvl w:ilvl="0">
      <w:lvlJc w:val="left"/>
      <w:lvlText w:val="%1"/>
      <w:numFmt w:val="decimal"/>
      <w:start w:val="101"/>
    </w:lvl>
  </w:abstractNum>
  <w:abstractNum w:abstractNumId="50">
    <w:nsid w:val="15B5AF5C"/>
    <w:multiLevelType w:val="hybridMultilevel"/>
    <w:lvl w:ilvl="0">
      <w:lvlJc w:val="left"/>
      <w:lvlText w:val="%1"/>
      <w:numFmt w:val="decimal"/>
      <w:start w:val="1"/>
    </w:lvl>
    <w:lvl w:ilvl="1">
      <w:lvlJc w:val="left"/>
      <w:lvlText w:val="%2"/>
      <w:numFmt w:val="decimal"/>
      <w:start w:val="104"/>
    </w:lvl>
  </w:abstractNum>
  <w:abstractNum w:abstractNumId="51">
    <w:nsid w:val="741226BB"/>
    <w:multiLevelType w:val="hybridMultilevel"/>
    <w:lvl w:ilvl="0">
      <w:lvlJc w:val="left"/>
      <w:lvlText w:val="(%1)"/>
      <w:numFmt w:val="decimal"/>
      <w:start w:val="1"/>
    </w:lvl>
    <w:lvl w:ilvl="1">
      <w:lvlJc w:val="left"/>
      <w:lvlText w:val="%2"/>
      <w:numFmt w:val="decimal"/>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lowerLetter"/>
      <w:start w:val="3"/>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upperLetter"/>
      <w:start w:val="1"/>
    </w:lvl>
    <w:lvl w:ilvl="1">
      <w:lvlJc w:val="left"/>
      <w:lvlText w:val="•"/>
      <w:numFmt w:val="bullet"/>
      <w:start w:val="1"/>
    </w:lvl>
  </w:abstractNum>
  <w:abstractNum w:abstractNumId="56">
    <w:nsid w:val="7E0C57B1"/>
    <w:multiLevelType w:val="hybridMultilevel"/>
    <w:lvl w:ilvl="0">
      <w:lvlJc w:val="left"/>
      <w:lvlText w:val="%1."/>
      <w:numFmt w:val="upperLetter"/>
      <w:start w:val="2"/>
    </w:lvl>
  </w:abstractNum>
  <w:abstractNum w:abstractNumId="57">
    <w:nsid w:val="77AE35EB"/>
    <w:multiLevelType w:val="hybridMultilevel"/>
    <w:lvl w:ilvl="0">
      <w:lvlJc w:val="left"/>
      <w:lvlText w:val="%1."/>
      <w:numFmt w:val="upperLetter"/>
      <w:start w:val="1"/>
    </w:lvl>
    <w:lvl w:ilvl="1">
      <w:lvlJc w:val="left"/>
      <w:lvlText w:val="•"/>
      <w:numFmt w:val="bullet"/>
      <w:start w:val="1"/>
    </w:lvl>
  </w:abstractNum>
  <w:abstractNum w:abstractNumId="58">
    <w:nsid w:val="579BE4F1"/>
    <w:multiLevelType w:val="hybridMultilevel"/>
    <w:lvl w:ilvl="0">
      <w:lvlJc w:val="left"/>
      <w:lvlText w:val="%1."/>
      <w:numFmt w:val="upperLetter"/>
      <w:start w:val="3"/>
    </w:lvl>
    <w:lvl w:ilvl="1">
      <w:lvlJc w:val="left"/>
      <w:lvlText w:val="•"/>
      <w:numFmt w:val="bullet"/>
      <w:start w:val="1"/>
    </w:lvl>
  </w:abstractNum>
  <w:abstractNum w:abstractNumId="59">
    <w:nsid w:val="310C50B3"/>
    <w:multiLevelType w:val="hybridMultilevel"/>
    <w:lvl w:ilvl="0">
      <w:lvlJc w:val="left"/>
      <w:lvlText w:val="%1."/>
      <w:numFmt w:val="upperLetter"/>
      <w:start w:val="4"/>
    </w:lvl>
    <w:lvl w:ilvl="1">
      <w:lvlJc w:val="left"/>
      <w:lvlText w:val="•"/>
      <w:numFmt w:val="bullet"/>
      <w:start w:val="1"/>
    </w:lvl>
  </w:abstractNum>
  <w:abstractNum w:abstractNumId="60">
    <w:nsid w:val="5FF87E05"/>
    <w:multiLevelType w:val="hybridMultilevel"/>
    <w:lvl w:ilvl="0">
      <w:lvlJc w:val="left"/>
      <w:lvlText w:val="%1."/>
      <w:numFmt w:val="upperLetter"/>
      <w:start w:val="6"/>
    </w:lvl>
  </w:abstractNum>
  <w:abstractNum w:abstractNumId="61">
    <w:nsid w:val="2F305DEF"/>
    <w:multiLevelType w:val="hybridMultilevel"/>
    <w:lvl w:ilvl="0">
      <w:lvlJc w:val="left"/>
      <w:lvlText w:val="%1."/>
      <w:numFmt w:val="upperLetter"/>
      <w:start w:val="1"/>
    </w:lvl>
  </w:abstractNum>
  <w:abstractNum w:abstractNumId="62">
    <w:nsid w:val="25A70BF7"/>
    <w:multiLevelType w:val="hybridMultilevel"/>
    <w:lvl w:ilvl="0">
      <w:lvlJc w:val="left"/>
      <w:lvlText w:val="%1."/>
      <w:numFmt w:val="upperLetter"/>
      <w:start w:val="34"/>
    </w:lvl>
    <w:lvl w:ilvl="1">
      <w:lvlJc w:val="left"/>
      <w:lvlText w:val="•"/>
      <w:numFmt w:val="bullet"/>
      <w:start w:val="1"/>
    </w:lvl>
  </w:abstractNum>
  <w:abstractNum w:abstractNumId="63">
    <w:nsid w:val="1DBABF00"/>
    <w:multiLevelType w:val="hybridMultilevel"/>
    <w:lvl w:ilvl="0">
      <w:lvlJc w:val="left"/>
      <w:lvlText w:val="%1."/>
      <w:numFmt w:val="upperLetter"/>
      <w:start w:val="61"/>
    </w:lvl>
  </w:abstractNum>
  <w:abstractNum w:abstractNumId="64">
    <w:nsid w:val="4AD084E9"/>
    <w:multiLevelType w:val="hybridMultilevel"/>
    <w:lvl w:ilvl="0">
      <w:lvlJc w:val="left"/>
      <w:lvlText w:val="%1."/>
      <w:numFmt w:val="upp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0" Type="http://schemas.openxmlformats.org/officeDocument/2006/relationships/image" Target="media/image112.png"/><Relationship Id="rId156" Type="http://schemas.openxmlformats.org/officeDocument/2006/relationships/image" Target="media/image113.png"/><Relationship Id="rId178"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119" Type="http://schemas.openxmlformats.org/officeDocument/2006/relationships/hyperlink" Target="https://www.sec.gov/Archives/edgar/data/0000737758/000073775823000034/ttc-10312023xexhibit21.htm" TargetMode="External"/><Relationship Id="rId120" Type="http://schemas.openxmlformats.org/officeDocument/2006/relationships/hyperlink" Target="https://www.sec.gov/Archives/edgar/data/0000737758/000073775823000034/ttc-10312023xex22.htm" TargetMode="External"/><Relationship Id="rId121" Type="http://schemas.openxmlformats.org/officeDocument/2006/relationships/hyperlink" Target="https://www.sec.gov/Archives/edgar/data/0000737758/000073775823000034/ttc-10312023xex23.htm" TargetMode="External"/><Relationship Id="rId122" Type="http://schemas.openxmlformats.org/officeDocument/2006/relationships/hyperlink" Target="http://www.sec.gov/Archives/edgar/data/737758/000073775820000007/ttc1312020exhibit22.htm" TargetMode="External"/><Relationship Id="rId123" Type="http://schemas.openxmlformats.org/officeDocument/2006/relationships/hyperlink" Target="http://www.sec.gov/Archives/edgar/data/0000737758/000073775821000012/ttc04302021exhibit22.htm" TargetMode="External"/><Relationship Id="rId124" Type="http://schemas.openxmlformats.org/officeDocument/2006/relationships/hyperlink" Target="https://www.sec.gov/Archives/edgar/data/737758/000073775822000039/ttc-10312022xex26.htm" TargetMode="External"/><Relationship Id="rId125" Type="http://schemas.openxmlformats.org/officeDocument/2006/relationships/hyperlink" Target="https://www.sec.gov/Archives/edgar/data/0000737758/000073775823000034/ttc-10312023xex27.htm" TargetMode="External"/><Relationship Id="rId126" Type="http://schemas.openxmlformats.org/officeDocument/2006/relationships/hyperlink" Target="http://www.sec.gov/Archives/edgar/data/737758/000104746912011370/a2212200zex-2_4.htm" TargetMode="External"/><Relationship Id="rId127" Type="http://schemas.openxmlformats.org/officeDocument/2006/relationships/hyperlink" Target="https://www.sec.gov/Archives/edgar/data/0000737758/000073775823000034/ttc-10312023xex29.htm" TargetMode="External"/><Relationship Id="rId128" Type="http://schemas.openxmlformats.org/officeDocument/2006/relationships/hyperlink" Target="https://www.sec.gov/Archives/edgar/data/0000737758/000073775823000034/ttc-10312023xex210.htm" TargetMode="External"/><Relationship Id="rId129" Type="http://schemas.openxmlformats.org/officeDocument/2006/relationships/hyperlink" Target="http://www.sec.gov/Archives/edgar/data/737758/000073775820000029/ttc-10312020xex29.htm" TargetMode="External"/><Relationship Id="rId131" Type="http://schemas.openxmlformats.org/officeDocument/2006/relationships/hyperlink" Target="http://www.sec.gov/Archives/edgar/data/737758/000073775820000007/ttc1312020exhibit23.htm" TargetMode="External"/><Relationship Id="rId132" Type="http://schemas.openxmlformats.org/officeDocument/2006/relationships/hyperlink" Target="https://www.sec.gov/Archives/edgar/data/0000737758/000073775823000034/ttc-10312023xex213.htm" TargetMode="External"/><Relationship Id="rId133" Type="http://schemas.openxmlformats.org/officeDocument/2006/relationships/hyperlink" Target="http://www.sec.gov/Archives/edgar/data/737758/000073775808000033/form8-k06172008exhibitcert.htm" TargetMode="External"/><Relationship Id="rId134" Type="http://schemas.openxmlformats.org/officeDocument/2006/relationships/hyperlink" Target="http://www.sec.gov/Archives/edgar/data/737758/000119312513105223/d501846dex31.htm" TargetMode="External"/><Relationship Id="rId135" Type="http://schemas.openxmlformats.org/officeDocument/2006/relationships/hyperlink" Target="https://www.sec.gov/Archives/edgar/data/737758/000114036123027141/brhc20053547_3-1.htm" TargetMode="External"/><Relationship Id="rId136" Type="http://schemas.openxmlformats.org/officeDocument/2006/relationships/hyperlink" Target="http://www.sec.gov/Archives/edgar/data/737758/000073775808000041/stock_certificate1.htm" TargetMode="External"/><Relationship Id="rId137" Type="http://schemas.openxmlformats.org/officeDocument/2006/relationships/hyperlink" Target="https://www.sec.gov/Archives/edgar/data/737758/000073775823000034/ttc-10312023xex45.htm" TargetMode="External"/><Relationship Id="rId138" Type="http://schemas.openxmlformats.org/officeDocument/2006/relationships/hyperlink" Target="http://www.sec.gov/Archives/edgar/data/737758/000110465907030051/a07-10570_1ex4d3.htm" TargetMode="External"/><Relationship Id="rId139" Type="http://schemas.openxmlformats.org/officeDocument/2006/relationships/hyperlink" Target="http://www.sec.gov/Archives/edgar/data/737758/000110465907031757/a07-10570_5ex4d1.htm" TargetMode="External"/><Relationship Id="rId140" Type="http://schemas.openxmlformats.org/officeDocument/2006/relationships/hyperlink" Target="http://www.sec.gov/Archives/edgar/data/737758/000110465907031757/a07-10570_5ex4d2.htm" TargetMode="External"/><Relationship Id="rId141" Type="http://schemas.openxmlformats.org/officeDocument/2006/relationships/hyperlink" Target="https://www.sec.gov/Archives/edgar/data/737758/000156459022010675/ttc-ex101_15.htm" TargetMode="External"/><Relationship Id="rId142" Type="http://schemas.openxmlformats.org/officeDocument/2006/relationships/hyperlink" Target="http://www.sec.gov/Archives/edgar/data/737758/000104746916017295/a2230524zex-10_1.htm" TargetMode="External"/><Relationship Id="rId143" Type="http://schemas.openxmlformats.org/officeDocument/2006/relationships/hyperlink" Target="http://www.sec.gov/Archives/edgar/data/737758/000073775819000028/ttc-10312019xex102.htm" TargetMode="External"/><Relationship Id="rId144" Type="http://schemas.openxmlformats.org/officeDocument/2006/relationships/hyperlink" Target="http://www.sec.gov/Archives/edgar/data/737758/000073775817000012/ttc-2017q1xexhibit108.htm" TargetMode="External"/><Relationship Id="rId145" Type="http://schemas.openxmlformats.org/officeDocument/2006/relationships/hyperlink" Target="http://www.sec.gov/Archives/edgar/data/737758/000073775817000012/ttc-2017q1xexhibit109.htm" TargetMode="External"/><Relationship Id="rId146" Type="http://schemas.openxmlformats.org/officeDocument/2006/relationships/hyperlink" Target="http://www.sec.gov/Archives/edgar/data/737758/000073775817000012/ttc-2017q1xexhibit1010.htm" TargetMode="External"/><Relationship Id="rId147" Type="http://schemas.openxmlformats.org/officeDocument/2006/relationships/hyperlink" Target="http://www.sec.gov/Archives/edgar/data/737758/000073775817000012/ttc-2017q1xexhibit1011.htm" TargetMode="External"/><Relationship Id="rId148" Type="http://schemas.openxmlformats.org/officeDocument/2006/relationships/hyperlink" Target="https://www.sec.gov/Archives/edgar/data/737758/000156459022010675/ttc-ex102_16.htm" TargetMode="External"/><Relationship Id="rId149" Type="http://schemas.openxmlformats.org/officeDocument/2006/relationships/hyperlink" Target="https://www.sec.gov/Archives/edgar/data/737758/000156459022010675/ttc-ex103_17.htm" TargetMode="External"/><Relationship Id="rId150" Type="http://schemas.openxmlformats.org/officeDocument/2006/relationships/hyperlink" Target="https://www.sec.gov/Archives/edgar/data/737758/000156459022010675/ttc-ex104_18.htm" TargetMode="External"/><Relationship Id="rId151" Type="http://schemas.openxmlformats.org/officeDocument/2006/relationships/hyperlink" Target="https://www.sec.gov/Archives/edgar/data/737758/000156459022010675/ttc-ex105_19.htm" TargetMode="External"/><Relationship Id="rId152" Type="http://schemas.openxmlformats.org/officeDocument/2006/relationships/hyperlink" Target="https://www.sec.gov/Archives/edgar/data/737758/000156459022010675/ttc-ex106_20.htm" TargetMode="External"/><Relationship Id="rId153" Type="http://schemas.openxmlformats.org/officeDocument/2006/relationships/hyperlink" Target="http://www.sec.gov/Archives/edgar/data/737758/000104746916017295/a2230524zex-10_11.htm" TargetMode="External"/><Relationship Id="rId154" Type="http://schemas.openxmlformats.org/officeDocument/2006/relationships/hyperlink" Target="http://www.sec.gov/Archives/edgar/data/737758/000104746916017295/a2230524zex-10_14.htm" TargetMode="External"/><Relationship Id="rId155" Type="http://schemas.openxmlformats.org/officeDocument/2006/relationships/hyperlink" Target="http://www.sec.gov/Archives/edgar/data/737758/000104746916017295/a2230524zex-10_17.htm" TargetMode="External"/><Relationship Id="rId157" Type="http://schemas.openxmlformats.org/officeDocument/2006/relationships/hyperlink" Target="http://www.sec.gov/Archives/edgar/data/737758/000104746916017295/a2230524zex-10_18.htm" TargetMode="External"/><Relationship Id="rId158" Type="http://schemas.openxmlformats.org/officeDocument/2006/relationships/hyperlink" Target="https://www.sec.gov/Archives/edgar/data/737758/000104746916017295/a2230524zex-10_19.htm" TargetMode="External"/><Relationship Id="rId159" Type="http://schemas.openxmlformats.org/officeDocument/2006/relationships/hyperlink" Target="http://www.sec.gov/Archives/edgar/data/737758/000104746916017295/a2230524zex-10_21.htm" TargetMode="External"/><Relationship Id="rId160" Type="http://schemas.openxmlformats.org/officeDocument/2006/relationships/hyperlink" Target="http://www.sec.gov/Archives/edgar/data/737758/000110465906083580/a06-25975_3ex10du.htm" TargetMode="External"/><Relationship Id="rId161" Type="http://schemas.openxmlformats.org/officeDocument/2006/relationships/hyperlink" Target="http://www.sec.gov/Archives/edgar/data/737758/000095012311004529/c62420exv10w1.htm" TargetMode="External"/><Relationship Id="rId162" Type="http://schemas.openxmlformats.org/officeDocument/2006/relationships/hyperlink" Target="http://www.sec.gov/Archives/edgar/data/737758/000119312515295667/d37887dex101.htm" TargetMode="External"/><Relationship Id="rId163" Type="http://schemas.openxmlformats.org/officeDocument/2006/relationships/hyperlink" Target="http://www.sec.gov/Archives/edgar/data/737758/000110465916133324/a16-15127_1ex10d1.htm" TargetMode="External"/><Relationship Id="rId164" Type="http://schemas.openxmlformats.org/officeDocument/2006/relationships/hyperlink" Target="https://www.sec.gov/Archives/edgar/data/737758/000114036123007000/ny20007515x1_ex10-1.htm" TargetMode="External"/><Relationship Id="rId165" Type="http://schemas.openxmlformats.org/officeDocument/2006/relationships/hyperlink" Target="https://www.sec.gov/Archives/edgar/data/737758/000073775824000050/ttc2ndaragmt10022024.htm" TargetMode="External"/><Relationship Id="rId166" Type="http://schemas.openxmlformats.org/officeDocument/2006/relationships/hyperlink" Target="https://www.sec.gov/Archives/edgar/data/737758/000114036122016358/brhc10036785_ex10-1.htm" TargetMode="External"/><Relationship Id="rId167" Type="http://schemas.openxmlformats.org/officeDocument/2006/relationships/hyperlink" Target="https://www.sec.gov/Archives/edgar/data/0000737758/000073775823000034/ttc-10312023xex1029.htm" TargetMode="External"/><Relationship Id="rId168" Type="http://schemas.openxmlformats.org/officeDocument/2006/relationships/hyperlink" Target="http://www.sec.gov/Archives/edgar/data/737758/000156459019014346/ttc-ex101_6.htm" TargetMode="External"/><Relationship Id="rId169" Type="http://schemas.openxmlformats.org/officeDocument/2006/relationships/hyperlink" Target="https://www.sec.gov/Archives/edgar/data/737758/000114036122024615/brhc10039279_ex10-3.htm" TargetMode="External"/><Relationship Id="rId170" Type="http://schemas.openxmlformats.org/officeDocument/2006/relationships/hyperlink" Target="https://www.sec.gov/Archives/edgar/data/737758/000114036122024615/brhc10039279_ex10-1.htm" TargetMode="External"/><Relationship Id="rId171" Type="http://schemas.openxmlformats.org/officeDocument/2006/relationships/hyperlink" Target="https://www.sec.gov/Archives/edgar/data/0000737758/000073775823000034/ttc-10312023xex1033.htm" TargetMode="External"/><Relationship Id="rId172" Type="http://schemas.openxmlformats.org/officeDocument/2006/relationships/hyperlink" Target="https://www.sec.gov/Archives/edgar/data/0000737758/000073775823000034/ttc-10312023xex1034.htm" TargetMode="External"/><Relationship Id="rId173" Type="http://schemas.openxmlformats.org/officeDocument/2006/relationships/hyperlink" Target="http://www.sec.gov/Archives/edgar/data/737758/000110465916160429/a16-22419_1ex10d1.htm" TargetMode="External"/><Relationship Id="rId174" Type="http://schemas.openxmlformats.org/officeDocument/2006/relationships/hyperlink" Target="http://www.sec.gov/Archives/edgar/data/737758/000073775820000007/ttc1312020exhibit101.htm" TargetMode="External"/><Relationship Id="rId175" Type="http://schemas.openxmlformats.org/officeDocument/2006/relationships/hyperlink" Target="https://www.sec.gov/Archives/edgar/data/737758/000073775821000030/ttc-10312021xex1024.htm" TargetMode="External"/><Relationship Id="rId176" Type="http://schemas.openxmlformats.org/officeDocument/2006/relationships/hyperlink" Target="https://www.sec.gov/Archives/edgar/data/737758/000073775822000039/ttc-10312022xex1035.htm" TargetMode="External"/><Relationship Id="rId177" Type="http://schemas.openxmlformats.org/officeDocument/2006/relationships/hyperlink" Target="https://www.sec.gov/Archives/edgar/data/0000737758/000073775823000034/ttc-10312023xex1039.htm" TargetMode="External"/><Relationship Id="rId179" Type="http://schemas.openxmlformats.org/officeDocument/2006/relationships/hyperlink" Target="https://www.sec.gov/Archives/edgar/data/737758/000073775823000034/ttc-10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2024-12-18T11:39:24Z</dcterms:created>
  <dcterms:modified xsi:type="dcterms:W3CDTF">2024-12-18T11:39:24Z</dcterms:modified>
</cp:coreProperties>
</file>