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20218.xml.htm"/>
      <w:bookmarkStart w:id="1" w:name="kswkform4_17885202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Funk Edric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TORO CO</w:t>
              </w:r>
            </w:hyperlink>
            <w:r>
              <w:rPr/>
              <w:t xml:space="preserve"> [ </w:t>
            </w:r>
            <w:r>
              <w:rPr>
                <w:rFonts w:ascii="Times;serif" w:hAnsi="Times;serif"/>
                <w:color w:val="0000FF"/>
                <w:sz w:val="24"/>
                <w:shd w:fill="FFFFFF" w:val="clear"/>
              </w:rPr>
              <w:t>TTC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0"/>
        <w:gridCol w:w="907"/>
        <w:gridCol w:w="781"/>
        <w:gridCol w:w="602"/>
        <w:gridCol w:w="327"/>
        <w:gridCol w:w="1134"/>
        <w:gridCol w:w="389"/>
        <w:gridCol w:w="724"/>
        <w:gridCol w:w="1252"/>
        <w:gridCol w:w="921"/>
        <w:gridCol w:w="11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6,247.539</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99.15</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6,247.539</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2,849</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99.15</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3,398.539</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2,123.859</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6,349.18</w:t>
            </w:r>
            <w:r>
              <w:rPr>
                <w:rFonts w:ascii="Times;serif" w:hAnsi="Times;serif"/>
                <w:color w:val="008000"/>
                <w:position w:val="7"/>
                <w:sz w:val="16"/>
                <w:sz w:val="20"/>
                <w:shd w:fill="FFFFFF" w:val="clear"/>
              </w:rPr>
              <w:t>(2)</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TTC Retirement Plan</w:t>
            </w:r>
          </w:p>
        </w:tc>
      </w:tr>
    </w:tbl>
    <w:tbl>
      <w:tblPr>
        <w:tblW w:w="128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66"/>
        <w:gridCol w:w="906"/>
        <w:gridCol w:w="801"/>
        <w:gridCol w:w="891"/>
        <w:gridCol w:w="1101"/>
        <w:gridCol w:w="801"/>
        <w:gridCol w:w="1071"/>
        <w:gridCol w:w="831"/>
        <w:gridCol w:w="846"/>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6,247.539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6,247.539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12,496.096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5,591.398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5,591.398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8.765 performance share units acquired by the reporting person since the date of his last report under the dividend reinvestment feature of The Toro Company Deferred Compensation Plan for Officers.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52.393 net shares acquired through regular individual and issuer matching contributions to The Toro Company Retirement Plan (the "Retirement Plan") and shares acquired under the dividend reinvestment feature of the Retirement Plan less quarterly non-discretionary administrative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TTC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and related dividend equivalents vest in three equal annual installments commencing on the first anniversary of the September 2, 2025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and related dividend equivalents vest in three equal annual installments commencing on the first anniversary of the December 22, 2025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2093" TargetMode="External"/><Relationship Id="rId5" Type="http://schemas.openxmlformats.org/officeDocument/2006/relationships/hyperlink" Target="http://www.sec.gov/cgi-bin/browse-edgar?action=getcompany&amp;CIK=00007377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4147</Characters>
  <CharactersWithSpaces>4793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