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94" w:lineRule="exact"/>
        <w:rPr>
          <w:sz w:val="24"/>
          <w:szCs w:val="24"/>
          <w:color w:val="auto"/>
        </w:rPr>
      </w:pPr>
    </w:p>
    <w:p>
      <w:pPr>
        <w:ind w:left="4120" w:right="2520" w:hanging="1614"/>
        <w:spacing w:after="0" w:line="294" w:lineRule="auto"/>
        <w:tabs>
          <w:tab w:leader="none" w:pos="28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October 31, 2025</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 w:lineRule="exact"/>
        <w:rPr>
          <w:sz w:val="24"/>
          <w:szCs w:val="24"/>
          <w:color w:val="auto"/>
        </w:rPr>
      </w:pPr>
    </w:p>
    <w:p>
      <w:pPr>
        <w:ind w:left="2720" w:hanging="319"/>
        <w:spacing w:after="0"/>
        <w:tabs>
          <w:tab w:leader="none" w:pos="2720" w:val="left"/>
        </w:tabs>
        <w:numPr>
          <w:ilvl w:val="0"/>
          <w:numId w:val="2"/>
        </w:numPr>
        <w:rPr>
          <w:rFonts w:ascii="MS PGothic" w:cs="MS PGothic" w:eastAsia="MS PGothic" w:hAnsi="MS PGothic"/>
          <w:sz w:val="1"/>
          <w:szCs w:val="1"/>
          <w:color w:val="auto"/>
        </w:rPr>
      </w:pPr>
      <w:r>
        <w:rPr>
          <w:rFonts w:ascii="Times New Roman" w:cs="Times New Roman" w:eastAsia="Times New Roman" w:hAnsi="Times New Roman"/>
          <w:sz w:val="1"/>
          <w:szCs w:val="1"/>
          <w:b w:val="1"/>
          <w:bCs w:val="1"/>
          <w:color w:val="auto"/>
        </w:rPr>
        <w:t>Transition Report Pursuant to Section 13 or 15(d) of the Securities Exchange Act of 1934</w:t>
      </w:r>
    </w:p>
    <w:p>
      <w:pPr>
        <w:spacing w:after="0" w:line="205" w:lineRule="exact"/>
        <w:rPr>
          <w:sz w:val="24"/>
          <w:szCs w:val="24"/>
          <w:color w:val="auto"/>
        </w:rPr>
      </w:pPr>
    </w:p>
    <w:p>
      <w:pPr>
        <w:jc w:val="center"/>
        <w:ind w:right="20"/>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1-8649</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60"/>
          </w:cols>
          <w:pgMar w:left="320" w:top="826" w:right="319" w:bottom="1440" w:gutter="0" w:footer="0" w:header="0"/>
        </w:sectPr>
      </w:pPr>
    </w:p>
    <w:p>
      <w:pPr>
        <w:spacing w:after="0" w:line="1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41-0580470</w:t>
      </w:r>
    </w:p>
    <w:p>
      <w:pPr>
        <w:spacing w:after="0" w:line="39" w:lineRule="exact"/>
        <w:rPr>
          <w:sz w:val="24"/>
          <w:szCs w:val="24"/>
          <w:color w:val="auto"/>
        </w:rPr>
      </w:pPr>
    </w:p>
    <w:p>
      <w:pPr>
        <w:sectPr>
          <w:pgSz w:w="11900" w:h="16838" w:orient="portrait"/>
          <w:cols w:equalWidth="0" w:num="2">
            <w:col w:w="8660" w:space="720"/>
            <w:col w:w="1880"/>
          </w:cols>
          <w:pgMar w:left="320" w:top="826" w:right="31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5" w:lineRule="exact"/>
        <w:rPr>
          <w:sz w:val="24"/>
          <w:szCs w:val="24"/>
          <w:color w:val="auto"/>
        </w:rPr>
      </w:pPr>
    </w:p>
    <w:p>
      <w:pPr>
        <w:sectPr>
          <w:pgSz w:w="11900" w:h="16838" w:orient="portrait"/>
          <w:cols w:equalWidth="0" w:num="2">
            <w:col w:w="8000" w:space="720"/>
            <w:col w:w="2540"/>
          </w:cols>
          <w:pgMar w:left="320" w:top="826" w:right="31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color w:val="auto"/>
        </w:rPr>
        <w:t>Organization)</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8111 Lyndale Avenue South</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Bloomington, Minnesota 55420-1196</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Telephone Number: (952) 888-8801</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$1.00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TTC</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6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jc w:val="both"/>
        <w:ind w:right="20"/>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160" w:type="dxa"/>
        <w:tblCellMar>
          <w:top w:w="0" w:type="dxa"/>
          <w:left w:w="0" w:type="dxa"/>
          <w:bottom w:w="0" w:type="dxa"/>
          <w:right w:w="0" w:type="dxa"/>
        </w:tblCellMar>
      </w:tblPr>
      <w:tr>
        <w:trPr>
          <w:trHeight w:val="184"/>
        </w:trPr>
        <w:tc>
          <w:tcPr>
            <w:tcW w:w="12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Large accelerated</w:t>
            </w:r>
          </w:p>
        </w:tc>
        <w:tc>
          <w:tcPr>
            <w:tcW w:w="6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vMerge w:val="restart"/>
          </w:tcPr>
          <w:p>
            <w:pPr>
              <w:ind w:left="28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256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7"/>
                <w:szCs w:val="17"/>
                <w:color w:val="auto"/>
              </w:rPr>
              <w:t>☐</w:t>
            </w:r>
          </w:p>
        </w:tc>
        <w:tc>
          <w:tcPr>
            <w:tcW w:w="15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Emerging growth</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4"/>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60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2180" w:type="dxa"/>
            <w:vAlign w:val="bottom"/>
            <w:vMerge w:val="continue"/>
          </w:tcPr>
          <w:p>
            <w:pPr>
              <w:spacing w:after="0"/>
              <w:rPr>
                <w:sz w:val="21"/>
                <w:szCs w:val="21"/>
                <w:color w:val="auto"/>
              </w:rPr>
            </w:pPr>
          </w:p>
        </w:tc>
        <w:tc>
          <w:tcPr>
            <w:tcW w:w="2560" w:type="dxa"/>
            <w:vAlign w:val="bottom"/>
            <w:vMerge w:val="continue"/>
          </w:tcPr>
          <w:p>
            <w:pPr>
              <w:spacing w:after="0"/>
              <w:rPr>
                <w:sz w:val="21"/>
                <w:szCs w:val="21"/>
                <w:color w:val="auto"/>
              </w:rPr>
            </w:pPr>
          </w:p>
        </w:tc>
        <w:tc>
          <w:tcPr>
            <w:tcW w:w="15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company</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7" w:lineRule="exact"/>
        <w:rPr>
          <w:sz w:val="24"/>
          <w:szCs w:val="24"/>
          <w:color w:val="auto"/>
        </w:rPr>
      </w:pPr>
    </w:p>
    <w:p>
      <w:pPr>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7" w:lineRule="exact"/>
        <w:rPr>
          <w:sz w:val="24"/>
          <w:szCs w:val="24"/>
          <w:color w:val="auto"/>
        </w:rPr>
      </w:pPr>
    </w:p>
    <w:p>
      <w:pPr>
        <w:ind w:right="40"/>
        <w:spacing w:after="0" w:line="23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66" w:lineRule="exact"/>
        <w:rPr>
          <w:sz w:val="24"/>
          <w:szCs w:val="24"/>
          <w:color w:val="auto"/>
        </w:rPr>
      </w:pPr>
    </w:p>
    <w:p>
      <w:pPr>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based on the closing price of the common stock on May 2, 2025, the last business day of the registrant's most recently completed second fiscal quarter, as reported by the New York Stock Exchange, was approximately $7.0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The number of shares of the registrant's common stock outstanding as of December 10, 2025 was 97,904,689.</w:t>
      </w:r>
    </w:p>
    <w:p>
      <w:pPr>
        <w:spacing w:after="0" w:line="111"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Documents Incorporated by Reference: </w:t>
      </w:r>
      <w:r>
        <w:rPr>
          <w:rFonts w:ascii="Times New Roman" w:cs="Times New Roman" w:eastAsia="Times New Roman" w:hAnsi="Times New Roman"/>
          <w:sz w:val="16"/>
          <w:szCs w:val="16"/>
          <w:color w:val="auto"/>
        </w:rPr>
        <w:t>Portions of the registrant's definitive Proxy Statement for the 2026 Annual Meeting of Shareholders expected to be held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March 17, 2026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3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Page Number</w:t>
            </w:r>
          </w:p>
        </w:tc>
      </w:tr>
      <w:tr>
        <w:trPr>
          <w:trHeight w:val="172"/>
        </w:trPr>
        <w:tc>
          <w:tcPr>
            <w:tcW w:w="20" w:type="dxa"/>
            <w:vAlign w:val="bottom"/>
          </w:tcPr>
          <w:p>
            <w:pPr>
              <w:spacing w:after="0"/>
              <w:rPr>
                <w:sz w:val="14"/>
                <w:szCs w:val="14"/>
                <w:color w:val="auto"/>
              </w:rPr>
            </w:pPr>
          </w:p>
        </w:tc>
        <w:tc>
          <w:tcPr>
            <w:tcW w:w="1160" w:type="dxa"/>
            <w:vAlign w:val="bottom"/>
            <w:gridSpan w:val="8"/>
          </w:tcPr>
          <w:p>
            <w:pPr>
              <w:spacing w:after="0" w:line="172" w:lineRule="exact"/>
              <w:rPr>
                <w:sz w:val="20"/>
                <w:szCs w:val="20"/>
                <w:color w:val="auto"/>
              </w:rPr>
            </w:pPr>
            <w:r>
              <w:rPr>
                <w:rFonts w:ascii="Times New Roman" w:cs="Times New Roman" w:eastAsia="Times New Roman" w:hAnsi="Times New Roman"/>
                <w:sz w:val="16"/>
                <w:szCs w:val="16"/>
                <w:color w:val="0000FF"/>
              </w:rPr>
              <w:t>GENERAL</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40" w:type="dxa"/>
            <w:vAlign w:val="bottom"/>
            <w:gridSpan w:val="4"/>
          </w:tcPr>
          <w:p>
            <w:pPr>
              <w:jc w:val="right"/>
              <w:spacing w:after="0" w:line="172" w:lineRule="exact"/>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260" w:type="dxa"/>
            <w:vAlign w:val="bottom"/>
            <w:gridSpan w:val="44"/>
          </w:tcPr>
          <w:p>
            <w:pPr>
              <w:spacing w:after="0"/>
              <w:rPr>
                <w:sz w:val="20"/>
                <w:szCs w:val="20"/>
                <w:color w:val="auto"/>
              </w:rPr>
            </w:pPr>
            <w:r>
              <w:rPr>
                <w:rFonts w:ascii="Times New Roman" w:cs="Times New Roman" w:eastAsia="Times New Roman" w:hAnsi="Times New Roman"/>
                <w:sz w:val="16"/>
                <w:szCs w:val="16"/>
                <w:color w:val="0000FF"/>
              </w:rPr>
              <w:t>CAUTIONARY NOTE REGARDING FORWARD-LOOKING STATEMENTS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1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PART I</w:t>
            </w: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Business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ITEM 1A.</w:t>
            </w:r>
          </w:p>
        </w:tc>
        <w:tc>
          <w:tcPr>
            <w:tcW w:w="460" w:type="dxa"/>
            <w:vAlign w:val="bottom"/>
            <w:gridSpan w:val="2"/>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ITEM 1B.</w:t>
            </w:r>
          </w:p>
        </w:tc>
        <w:tc>
          <w:tcPr>
            <w:tcW w:w="460" w:type="dxa"/>
            <w:vAlign w:val="bottom"/>
            <w:gridSpan w:val="2"/>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1C.</w:t>
            </w:r>
          </w:p>
        </w:tc>
        <w:tc>
          <w:tcPr>
            <w:tcW w:w="20" w:type="dxa"/>
            <w:vAlign w:val="bottom"/>
            <w:tcBorders>
              <w:top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9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920" w:type="dxa"/>
            <w:vAlign w:val="bottom"/>
            <w:tcBorders>
              <w:top w:val="single" w:sz="8" w:color="0000FF"/>
            </w:tcBorders>
            <w:gridSpan w:val="7"/>
          </w:tcPr>
          <w:p>
            <w:pPr>
              <w:spacing w:after="0"/>
              <w:rPr>
                <w:sz w:val="17"/>
                <w:szCs w:val="17"/>
                <w:color w:val="auto"/>
              </w:rPr>
            </w:pPr>
          </w:p>
        </w:tc>
        <w:tc>
          <w:tcPr>
            <w:tcW w:w="6260" w:type="dxa"/>
            <w:vAlign w:val="bottom"/>
            <w:gridSpan w:val="23"/>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2.</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3.</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4.</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Information About Our Executive Officers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34</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PART II</w:t>
            </w: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5.</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7160" w:type="dxa"/>
            <w:vAlign w:val="bottom"/>
            <w:tcBorders>
              <w:top w:val="single" w:sz="8" w:color="0000FF"/>
            </w:tcBorders>
            <w:gridSpan w:val="34"/>
          </w:tcPr>
          <w:p>
            <w:pPr>
              <w:spacing w:after="0"/>
              <w:rPr>
                <w:sz w:val="20"/>
                <w:szCs w:val="20"/>
                <w:color w:val="auto"/>
              </w:rPr>
            </w:pPr>
            <w:r>
              <w:rPr>
                <w:rFonts w:ascii="Times New Roman" w:cs="Times New Roman" w:eastAsia="Times New Roman" w:hAnsi="Times New Roman"/>
                <w:sz w:val="16"/>
                <w:szCs w:val="16"/>
                <w:color w:val="0000FF"/>
              </w:rPr>
              <w:t>The Toro Company Common Stock Comparative Performance Graph</w:t>
            </w:r>
          </w:p>
        </w:tc>
        <w:tc>
          <w:tcPr>
            <w:tcW w:w="80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6.</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[Reserved]</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7.</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66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6"/>
                <w:szCs w:val="16"/>
                <w:color w:val="0000FF"/>
              </w:rPr>
              <w:t>Company Overview</w:t>
            </w:r>
          </w:p>
        </w:tc>
        <w:tc>
          <w:tcPr>
            <w:tcW w:w="2300" w:type="dxa"/>
            <w:vAlign w:val="bottom"/>
            <w:gridSpan w:val="4"/>
          </w:tcPr>
          <w:p>
            <w:pPr>
              <w:spacing w:after="0"/>
              <w:rPr>
                <w:sz w:val="17"/>
                <w:szCs w:val="17"/>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8"/>
              </w:rPr>
              <w:t>Results of Operations</w:t>
            </w:r>
          </w:p>
        </w:tc>
        <w:tc>
          <w:tcPr>
            <w:tcW w:w="6580" w:type="dxa"/>
            <w:vAlign w:val="bottom"/>
            <w:gridSpan w:val="26"/>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Business Segments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Financial Position</w:t>
            </w:r>
          </w:p>
        </w:tc>
        <w:tc>
          <w:tcPr>
            <w:tcW w:w="6700" w:type="dxa"/>
            <w:vAlign w:val="bottom"/>
            <w:gridSpan w:val="27"/>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w w:val="99"/>
              </w:rPr>
              <w:t>Non-GAAP Financial Measures</w:t>
            </w:r>
          </w:p>
        </w:tc>
        <w:tc>
          <w:tcPr>
            <w:tcW w:w="5900" w:type="dxa"/>
            <w:vAlign w:val="bottom"/>
            <w:gridSpan w:val="21"/>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45</w:t>
            </w:r>
          </w:p>
        </w:tc>
        <w:tc>
          <w:tcPr>
            <w:tcW w:w="20" w:type="dxa"/>
            <w:vAlign w:val="bottom"/>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w w:val="99"/>
              </w:rPr>
              <w:t>Critical Accounting Policies and Estimates</w:t>
            </w:r>
          </w:p>
        </w:tc>
        <w:tc>
          <w:tcPr>
            <w:tcW w:w="5200" w:type="dxa"/>
            <w:vAlign w:val="bottom"/>
            <w:gridSpan w:val="16"/>
          </w:tcPr>
          <w:p>
            <w:pPr>
              <w:spacing w:after="0"/>
              <w:rPr>
                <w:sz w:val="24"/>
                <w:szCs w:val="24"/>
                <w:color w:val="auto"/>
              </w:rPr>
            </w:pPr>
          </w:p>
        </w:tc>
        <w:tc>
          <w:tcPr>
            <w:tcW w:w="178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47</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ITEM 7A.</w:t>
            </w:r>
          </w:p>
        </w:tc>
        <w:tc>
          <w:tcPr>
            <w:tcW w:w="460" w:type="dxa"/>
            <w:vAlign w:val="bottom"/>
            <w:gridSpan w:val="2"/>
          </w:tcPr>
          <w:p>
            <w:pPr>
              <w:spacing w:after="0"/>
              <w:rPr>
                <w:sz w:val="17"/>
                <w:szCs w:val="17"/>
                <w:color w:val="auto"/>
              </w:rPr>
            </w:pPr>
          </w:p>
        </w:tc>
        <w:tc>
          <w:tcPr>
            <w:tcW w:w="39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160" w:type="dxa"/>
            <w:vAlign w:val="bottom"/>
            <w:gridSpan w:val="10"/>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8.</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Management's Report on Internal Control over Financial Reporting</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3620" w:type="dxa"/>
            <w:vAlign w:val="bottom"/>
            <w:gridSpan w:val="7"/>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56</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Consolidated Statements of Earnings</w:t>
            </w:r>
          </w:p>
        </w:tc>
        <w:tc>
          <w:tcPr>
            <w:tcW w:w="4180" w:type="dxa"/>
            <w:vAlign w:val="bottom"/>
            <w:gridSpan w:val="11"/>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w:t>
            </w:r>
          </w:p>
        </w:tc>
        <w:tc>
          <w:tcPr>
            <w:tcW w:w="4600" w:type="dxa"/>
            <w:vAlign w:val="bottom"/>
            <w:gridSpan w:val="13"/>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5380" w:type="dxa"/>
            <w:vAlign w:val="bottom"/>
            <w:gridSpan w:val="18"/>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4800" w:type="dxa"/>
            <w:vAlign w:val="bottom"/>
            <w:gridSpan w:val="14"/>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62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9.</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ITEM 9A.</w:t>
            </w:r>
          </w:p>
        </w:tc>
        <w:tc>
          <w:tcPr>
            <w:tcW w:w="460" w:type="dxa"/>
            <w:vAlign w:val="bottom"/>
            <w:gridSpan w:val="2"/>
          </w:tcPr>
          <w:p>
            <w:pPr>
              <w:spacing w:after="0"/>
              <w:rPr>
                <w:sz w:val="17"/>
                <w:szCs w:val="17"/>
                <w:color w:val="auto"/>
              </w:rPr>
            </w:pPr>
          </w:p>
        </w:tc>
        <w:tc>
          <w:tcPr>
            <w:tcW w:w="1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6500" w:type="dxa"/>
            <w:vAlign w:val="bottom"/>
            <w:gridSpan w:val="25"/>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ITEM 9B.</w:t>
            </w:r>
          </w:p>
        </w:tc>
        <w:tc>
          <w:tcPr>
            <w:tcW w:w="460" w:type="dxa"/>
            <w:vAlign w:val="bottom"/>
            <w:gridSpan w:val="2"/>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9C.</w:t>
            </w:r>
          </w:p>
        </w:tc>
        <w:tc>
          <w:tcPr>
            <w:tcW w:w="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44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3680" w:type="dxa"/>
            <w:vAlign w:val="bottom"/>
            <w:gridSpan w:val="8"/>
          </w:tcPr>
          <w:p>
            <w:pPr>
              <w:spacing w:after="0"/>
              <w:rPr>
                <w:sz w:val="18"/>
                <w:szCs w:val="18"/>
                <w:color w:val="auto"/>
              </w:rPr>
            </w:pPr>
          </w:p>
        </w:tc>
        <w:tc>
          <w:tcPr>
            <w:tcW w:w="1780" w:type="dxa"/>
            <w:vAlign w:val="bottom"/>
            <w:gridSpan w:val="2"/>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97</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5"/>
              </w:rPr>
              <w:t>PART III</w:t>
            </w:r>
          </w:p>
        </w:tc>
        <w:tc>
          <w:tcPr>
            <w:tcW w:w="560" w:type="dxa"/>
            <w:vAlign w:val="bottom"/>
            <w:gridSpan w:val="5"/>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10.</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11.</w:t>
            </w:r>
          </w:p>
        </w:tc>
        <w:tc>
          <w:tcPr>
            <w:tcW w:w="500" w:type="dxa"/>
            <w:vAlign w:val="bottom"/>
            <w:gridSpan w:val="4"/>
          </w:tcPr>
          <w:p>
            <w:pPr>
              <w:spacing w:after="0"/>
              <w:rPr>
                <w:sz w:val="17"/>
                <w:szCs w:val="17"/>
                <w:color w:val="auto"/>
              </w:rPr>
            </w:pPr>
          </w:p>
        </w:tc>
        <w:tc>
          <w:tcPr>
            <w:tcW w:w="16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2060" w:type="dxa"/>
            <w:vAlign w:val="bottom"/>
            <w:tcBorders>
              <w:top w:val="single" w:sz="8" w:color="0000FF"/>
            </w:tcBorders>
            <w:gridSpan w:val="12"/>
          </w:tcPr>
          <w:p>
            <w:pPr>
              <w:spacing w:after="0"/>
              <w:rPr>
                <w:sz w:val="17"/>
                <w:szCs w:val="17"/>
                <w:color w:val="auto"/>
              </w:rPr>
            </w:pPr>
          </w:p>
        </w:tc>
        <w:tc>
          <w:tcPr>
            <w:tcW w:w="4400" w:type="dxa"/>
            <w:vAlign w:val="bottom"/>
            <w:gridSpan w:val="12"/>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12.</w:t>
            </w:r>
          </w:p>
        </w:tc>
        <w:tc>
          <w:tcPr>
            <w:tcW w:w="500" w:type="dxa"/>
            <w:vAlign w:val="bottom"/>
            <w:gridSpan w:val="4"/>
          </w:tcPr>
          <w:p>
            <w:pPr>
              <w:spacing w:after="0"/>
              <w:rPr>
                <w:sz w:val="17"/>
                <w:szCs w:val="17"/>
                <w:color w:val="auto"/>
              </w:rPr>
            </w:pPr>
          </w:p>
        </w:tc>
        <w:tc>
          <w:tcPr>
            <w:tcW w:w="658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520" w:type="dxa"/>
            <w:vAlign w:val="bottom"/>
            <w:gridSpan w:val="2"/>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13.</w:t>
            </w:r>
          </w:p>
        </w:tc>
        <w:tc>
          <w:tcPr>
            <w:tcW w:w="500" w:type="dxa"/>
            <w:vAlign w:val="bottom"/>
            <w:gridSpan w:val="4"/>
          </w:tcPr>
          <w:p>
            <w:pPr>
              <w:spacing w:after="0"/>
              <w:rPr>
                <w:sz w:val="17"/>
                <w:szCs w:val="17"/>
                <w:color w:val="auto"/>
              </w:rPr>
            </w:pPr>
          </w:p>
        </w:tc>
        <w:tc>
          <w:tcPr>
            <w:tcW w:w="49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3180" w:type="dxa"/>
            <w:vAlign w:val="bottom"/>
            <w:gridSpan w:val="5"/>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14.</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98</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PART IV</w:t>
            </w:r>
          </w:p>
        </w:tc>
        <w:tc>
          <w:tcPr>
            <w:tcW w:w="500" w:type="dxa"/>
            <w:vAlign w:val="bottom"/>
            <w:gridSpan w:val="4"/>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5320" w:type="dxa"/>
            <w:vAlign w:val="bottom"/>
            <w:gridSpan w:val="1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ITEM 15.</w:t>
            </w:r>
          </w:p>
        </w:tc>
        <w:tc>
          <w:tcPr>
            <w:tcW w:w="500" w:type="dxa"/>
            <w:vAlign w:val="bottom"/>
            <w:gridSpan w:val="4"/>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Exhibit and Financial Statement Schedules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right w:val="single" w:sz="8" w:color="0000FF"/>
            </w:tcBorders>
            <w:gridSpan w:val="9"/>
            <w:shd w:val="clear" w:color="auto" w:fill="0000FF"/>
          </w:tcPr>
          <w:p>
            <w:pPr>
              <w:spacing w:after="0" w:line="20" w:lineRule="exact"/>
              <w:rPr>
                <w:sz w:val="1"/>
                <w:szCs w:val="1"/>
                <w:color w:val="auto"/>
              </w:rPr>
            </w:pPr>
          </w:p>
        </w:tc>
        <w:tc>
          <w:tcPr>
            <w:tcW w:w="1380" w:type="dxa"/>
            <w:vAlign w:val="bottom"/>
            <w:tcBorders>
              <w:left w:val="single" w:sz="8" w:color="0000FF"/>
            </w:tcBorders>
            <w:gridSpan w:val="10"/>
            <w:shd w:val="clear" w:color="auto" w:fill="0000FF"/>
          </w:tcPr>
          <w:p>
            <w:pPr>
              <w:spacing w:after="0" w:line="20" w:lineRule="exact"/>
              <w:rPr>
                <w:sz w:val="1"/>
                <w:szCs w:val="1"/>
                <w:color w:val="auto"/>
              </w:rPr>
            </w:pPr>
          </w:p>
        </w:tc>
        <w:tc>
          <w:tcPr>
            <w:tcW w:w="5320" w:type="dxa"/>
            <w:vAlign w:val="bottom"/>
            <w:gridSpan w:val="1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ITEM 16.</w:t>
            </w:r>
          </w:p>
        </w:tc>
        <w:tc>
          <w:tcPr>
            <w:tcW w:w="500" w:type="dxa"/>
            <w:vAlign w:val="bottom"/>
            <w:gridSpan w:val="4"/>
          </w:tcPr>
          <w:p>
            <w:pPr>
              <w:spacing w:after="0"/>
              <w:rPr>
                <w:sz w:val="17"/>
                <w:szCs w:val="17"/>
                <w:color w:val="auto"/>
              </w:rPr>
            </w:pPr>
          </w:p>
        </w:tc>
        <w:tc>
          <w:tcPr>
            <w:tcW w:w="278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5320" w:type="dxa"/>
            <w:vAlign w:val="bottom"/>
            <w:gridSpan w:val="17"/>
          </w:tcPr>
          <w:p>
            <w:pPr>
              <w:spacing w:after="0"/>
              <w:rPr>
                <w:sz w:val="17"/>
                <w:szCs w:val="17"/>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“TTC,” the “company,” “we,” “us,” and “our,” refer to The Toro Company and its consolidated subsidiaries. References to fiscal years, such as "fiscal 2025," are to the fiscal year ending on October 31 of the specified year.</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“Toro” and many other marks as trademarks in the United States and/or in other countries. This Annual Report on Form 10-K contains references to our registered or common law trade names, trademarks or service marks and to those belonging to other entities. Solely for convenience, trademarks and trade names referred to in this Annual Report on Form 10-K,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 unless otherwise stated.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or incorporates by reference, not only historical information, but also forward-looking statements regarding future events and our future results within the meaning of Section 27A of the Securities Act of 1933, as amended ("Securities Act"), Section 21E of the Securities Exchange Act of 1934, as amended ("Exchange Act"), and the Private Securities Litigation Reform Act of 1995,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websites or otherwise.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"encourage," "anticipate," "continue," "plan," "objective," "estimate," "project," "target," "improve," "believe," "become," "should," "could," "will," "would," "possible," "may," "likely," "intend," "can," "seek," "pursue," "potential," variations of such words or the negative thereof, and similar expressions or future dates. Our forward-looking statements generally relate to our future performance and may include, among others, statements relating to:</w:t>
      </w:r>
    </w:p>
    <w:p>
      <w:pPr>
        <w:spacing w:after="0" w:line="8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operating results, liquidity requirements, and financial condition and current trends and uncertainties;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impacts of elevated field inventory levels and backlog, global supply chain disruptions, the inflationary environment, the imposition, or changes to tariffs, including the tariffs announced by the United States in our fiscal 2025, and any retaliatory tariffs, including countermeasures by China, governmental budget cuts, the war between Ukraine and Russia, Middle East conflicts and wars, and related sanctions and geopolitical tensions (including China and Taiwan), tight labor markets, and other macroeconomic factors;</w:t>
      </w:r>
    </w:p>
    <w:p>
      <w:pPr>
        <w:spacing w:after="0" w:line="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strategies, priorities, goals, and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any impairment, restructuring, or other charges in connection therewith or resulting therefrom;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productivity initiatives and anticipated sales growth, profitability, cost savings, and other benefits associated therewith;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laws, rules, policies, regulations, tax reform, new accounting pronouncements, and outstanding litigation on our business and future performance.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only predictions and involve risks and uncertainties that could cause actual results to differ materially from those projected or implied in the forward-looking statements. The factors known to us that could materially adversely affect our business, reputation, operations, industry, financial position or future financial performance are described in Part I, Item 1A, "Risk Factors," of this Annual Report on Form 10-K.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Annual Report on Form 10-K, including in Part I, Item 1A, "Risk Factors," as well as others that we may consider immaterial or do not anticipate at this time. The risks and uncertainties described in this Annual Report on Form 10-K, including in Part I, Item 1A, "Risk Factors,"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Quarterly Reports on Form 10-Q and Current Reports on Form 8-K we file with, or furnish to, the United States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design, manufacture, market and sell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Our purpose is to help our customers enrich the beauty, productivity, and sustainability of the land. Our products are marketed and sold worldwide through a network of distributors, dealers, mass retailers, hardware retailers, equipment rental centers, and home centers, as well as online and direct to end-users under the primary trademarks of Toro®, Ditch Witch®, eXmark®, Spartan®, BOSS®, Ventrac®, American Augers®, Subsite®, HammerHead®, Radius®, Perrot®, Hayter®, Unique Lighting Systems®, Irritrol®, and Lawn-Boy®, most of which are registered in the United States ("U.S.") and/or in the primary countries outside the U.S. where we market our products branded under such trademarks.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focus on innovation and quality in our products, customer service, manufacturing, and marketing. We strive to provide innovative, well-built, and dependable products supported by an extensive service network. We commit to funding research, development, and engineering activities in order to improve and enhance existing products and develop new products. Through these efforts, we seek to be responsive to trends that may affect our target markets now and in the future. A significant portion of our net sales has historically been, and we expect will continue to be, attributable to new and enhanced products. We define new products as those introduced in the current and previous two fiscal years.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continued to complement our brands, enhance our product portfolios, and improve our technologies through innovation and strategic acquisitions over the more than 100 years we have been in business, including most recently our acquisition of Tornado Infrastructure Equipment Ltd. (“Tornado Infrastructure Equipment”), as discussed below. We plan to continue to leverage a strategic and disciplined approach to pursue targeted acquisitions that add value to TTC by complementing our existing brands, enhancing our product portfolio, and/or improving our technologies. We also plan to continue our commitment to disciplined portfolio management and prudent capital allocation strategies, resulting in our disposition from time to time of non-core product lines.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classify our operations into two reportable business segments: Professional and Residential. Our remaining activities are presented as "Other" due to their insignificance. These Other activities consist of earnings (loss) from a wholly-owned domestic distribution company, certain corporate activities, and the elimination of intersegment revenues and expenses. Net sales of our reportable segments and Other activities accounted for the following percentages of our consolidated net sales for fiscal 2025: Professional, 80.3 percent; Residential, 19.0 percent; and Other, 0.7 percent.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environmental, social, and governance priorities, are embedded as part of our commitment to advancing our sustainability goals.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December 8, 2025, we acquired Tornado Infrastructure Equipment Ltd., a Calgary, Alberta, Canada-based manufacturer in the hydrovac excavation solutions industry for a purchase price of $279.3 million Canadian dollars. Tornado Infrastructure Equipment manufactures hydrovac excavation solutions and industrial equipment solutions for the underground construction, power transmission, and energy markets and provides innovative product offerings that broaden and strengthen the company's Professional segment and expands its dealer network. The company funded the acquisition with borrowings under its existing revolving credit facility and additional financial arrangements. For additional information regarding the acquisition and the financing agreements utilized to fund the aggregate merger consideration, refer to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by Market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strive to be a leader in adapting advanced technologies to products and services that provide innovative solutions for turf maintenance; landscape and lighting; rental, specialty, and underground construction; snow and ice management; agricultural; and residential demands. The following is a summary of our products, by market, for our Professional segment and our products for our Residential segment.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Segment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design professional turf maintenance; landscape and lighting; rental, specialty, and underground construction; snow and ice management; and agricultural products. We market and sell Professional segment products worldwide through a network of distributors and dealers, as well as directly to government customers, rental companies, and large retailers. These channel partners then sell or rent our products to professional and other users, including homeowners, engaged in maintaining turf, such as golf courses, sports fields, municipal properties, as well as residential and commercial landscapes; installing, repairing, and replacing underground pipe and utilities; managing snow and ice demands; irrigating turf and agricultural fields; and creating, renovating, and illuminating landscapes. The following sections describe our Professional segment products by market.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Golf Market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the only company to offer both equipment and irrigation products for the golf market and are a market leader in both. We design, manufacture, market, and sell equipment products under the Toro and Ventrac brands that are intended to provide innovative solutions for golf course turf maintenance. Equipment products for the golf market include large reel and rotary riding mowers for fairway, rough, and trim cutting, including autonomous solutions; riding and walking mowers for greens and specialty areas; greens rollers; all-wheel drive articulating tractors; turf sprayer equipment; utility vehicles; aeration equipment; bunker maintenance equipment; other specialty turf equipment; and Intelli360 for telematics and fleet management. We also market and sell irrigation products for the golf market under the Toro brand that are designed to provide innovative water application solutions for golf course turf maintenance. These irrigation products predominantly consist of sprinkler heads, controllers, turf sensors, valves and operating software. These equipment and irrigation products are primarily sold to distributors and dealers, who then sell to owners, managers and/or superintendents of golf courses.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Sports Fields and Grounds Market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design, manufacture, market, and sell Toro and Ventrac-branded equipment products that are intended to provide innovative turf maintenance solutions to sports fields and grounds customers. Equipment products for the sports fields and grounds market primarily include riding rotary and reel mowers and attachments, aerators, infield grooming equipment, all-wheel drive articulating tractors, multipurpose vehicles, and versatile debris blowers. In addition to equipment products, we also market and sell irrigation products under the Toro and Perrot brands that are designed to provide innovative water application solutions for sports fields and grounds turf maintenance. These irrigation products primarily include sprinkler heads, controllers, turf sensors, valves and operating software. These products are primarily sold to distributors and dealers, who then sell to owners and/or managers of sports fields, governmental properties, and residential and commercial landscapes, as well as directly to government customers.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Landscape Contractor Market</w:t>
      </w:r>
    </w:p>
    <w:p>
      <w:pPr>
        <w:spacing w:after="0" w:line="1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design, manufacture, market, and sell equipment products under the Toro, eXmark, Spartan and Ventrac brands that are intended to provide innovative turf management solutions to landscape contractors. Equipment products for the landscape contractor market include gas and battery powered zero-turn radius riding mowers, heavy-duty and mid-size walk behind mowers including autonomous versions, gas and battery powered stand-on mowers, and manual and remote controlled all-wheel drive articulating tractors, as well as turf application, turf renovation, and tree care equipment. These equipment products are primarily sold to distributors and dealers, who then sell to landscape contractors engaged in turf maintenance activities. These equipment products are primarily sold to distributors and dealers, who then sell to landscape contractors engaged in turf maintenance activities.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Underground Construction Market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design, manufacture, market, and sell a range of professional grade products to serve the underground construction market under the Ditch Witch, American Augers, HammerHead, Subsite, and Radius brands, including horizontal directional drills, walk and ride trenchers, vacuum excavators, horizontal directional drilling guidance and support equipment, utility locators, utility inspection systems, pipe rehabilitation and replacement solutions, as well as after-market tools, including drive chucks and sub savers, drill pipe, starter rods and quick connects, bits and blades, rock tools, reamers, and swivels. Such products are utilized by specialty contractors worldwide to install water, gas, electric, telecommunication, fiber optic, broadband, and other utility distribution systems.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Rental and Specialty Construction Market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design, manufacture, market, and sell Toro and Ditch Witch-branded equipment products that are intended to provide innovative solutions to serve the rental and specialty construction market. These products primarily consist of stand-on skid steers, walk-behind trenchers, stump grinders, and turf renovation products. We also have a line of Toro-branded rental products that feature material handlers and other concrete construction equipment. Our rental and specialty construction equipment products are mainly sold to rental companies and large retailers who subsequently rent the products to end-users, as well as to dealers who market and sell to end-customers primarily consisting of landscape contractors, municipalities, and other government entities.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Snow and Ice Management Market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design, manufacture, market, and sell equipment products under the BOSS, Ventrac, and Toro brands that are intended to provide innovative snow removal and ice management solutions for the snow and ice management market. These equipment products primarily consist of snowplows; salt and brine ice control products; accessories for light and medium duty trucks, all-terrain vehicles, utility task vehicles, stand-on skid steers, and front-end loaders; and all-wheel drive articulating tractors, sidewalk snow and ice solution vehicles, and related attachments and accessories. These products are mainly sold through distributors and dealers who market and sell to end-customers primarily consisting of landscape contractors, municipalities, and other government entities.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Irrigation and Lighting Market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Irrigation products are designed, manufactured, marketed, and sold under the Toro and Irritrol brands and primarily include rotors; sprinkler bodies and nozzles; plastic, brass, and hydraulic valves; drip tubing and subsurface irrigation; electric control devices; and wired and wireless rain, freeze, climate, and soil sensors. These irrigation products are supported by software, artificial intelligence, and apps to provide innovative water application solutions for both commercial and residential landscapes. Both the Toro and Irritrol brands have received several U.S. Environmental Protection Agency ("EPA") WaterSense awards, as well as the EPA WaterSense certification for numerous irrigation controller families and models. In addition to our irrigation products, we market and sell Unique Lighting Systems-branded products primarily consisting of a line of lighting fixtures and transformers designed for commercial and residential landscapes. Our commercial irrigation and lighting products are predominantly sold to distributors and dealers who market and sell to end-customers primarily consisting of landscape contractors that professionally install these products as new systems or use these products to replace or retrofit existing systems.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Ag-Irrigation Market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Irrigation products for the ag-irrigation market are designed, manufactured, marketed, and sold under the Toro brand and are intended to provide an efficient means of water application and usage in agricultural and greenhouse applications. These irrigation products primarily consist of drip tape, polyethylene tubing, drip line, emitters, filters, and fitting solutions. In addition to these core products, we offer a complement of design software and connection options to complete the ag-irrigation system. Our ag-irrigation products are sold through dealers and distributors who then sell to end-users for use primarily in vegetable fields, fruit and nut orchards, and vineyard applications.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market and sell our Residential segment products to homeowners through a variety of distribution channels, including outdoor power equipment distributors and dealers, mass retailers, hardware retailers, and home centers, as well as online and direct to end-users. We also license our trademark on certain yard tools and garden equipment products as a means of expanding our brand presence. The following sections describe our Residential segment products.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Walk Power Mower Products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 manufacture, market, and sell walk power mower equipment products under our Toro and Lawn-Boy brand names, as well as the Hayter brand in the United Kingdom. Our walk power mower equipment products are designed to provide innovative turf cutting solutions primarily to homeowners. Models differ as to cutting width, type of starter mechanism, method of grass clipping discharge, deck type, operational controls, and power sources, and are either self-propelled or operator-propelled push mowers.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Zero-Turn Riding Mower Products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residential zero-turn riding mower equipment products are designed, manufactured, marketed, and sold under the Toro brand name and are intended to provide innovative and time saving turf cutting solutions by using superior maneuverability to navigate around obstacles more efficiently and effectively than tractor technology. Many models of our residential zero-turn riding mowers are available with a variety of engines, decks, transmissions, and accessories.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Snow Thrower Products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market, and sell a range of Toro-branded battery, electric, and gas-powered single-stage and two-stage snow thrower equipment products, as well as battery and electric-powered power shovel equipment products. Single-stage snow throwers are walk behind units that are generally designed for small areas of light snow and our two-stage snow throwers are generally designed for relatively large areas of deep and heavy snow. Our battery and electric-powered power shovels are designed to be lightweight and ideal for clearing light snow from decks, steps, sidewalks, and small driveways.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Yard Tools and Garden Equipment Products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yard tools and garden equipment products are designed, manufactured, marketed, and sold under the Toro brand name. Our Toro-branded yard tools and garden equipment products consist of a variety of battery, electric, and/or gas-powered options and primarily consist of grass trimmers, hedge trimmers, blower-vacuums, chainsaws, edgers, cultivators, string mowers, and related parts and accessories that are designed to provide innovative yard maintenance solutions to homeowners.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currently manufacture our products in the U.S., Mexico, the United Kingdom, Italy, Romania, Germany, Poland, and China for sale throughout the world. We maintain sales offices in the U.S., the United Kingdom, Australia, Japan, China, Italy, Poland, Germany, Spain, and Belgium. New product development is pursued primarily in the U.S. with the intention of global distribution. Our net sales outside the U.S. were 19.5 percent, 20.1 percent, and 20.8 percent of total consolidated net sales for fiscal 2025, 2024, and 2023, respectively. For additional financial information regarding our international operations and geographical areas, refer to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international operations, we are exposed to foreign currency exchange rate risk arising from transactions in the normal course of business. For additional information regarding our foreign currency exchange rate risk exposure, refer to Part II, Item 7A, "Quantitative and Qualitative Disclosures about Market Risk,"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Research and Innovation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longstanding commitment to innovation and quality in our products has been a key driver of our market success. We are committed to the development of innovative new products and improvements in the quality and performance of existing products. When applicable, we also may pursue targeted and strategic acquisitions to acquire innovative technologies that we believe bolster our longstanding commitment to innovation in our products and complement and support the development of alternative power, smart-connected, and autonomous products within our Professional and Residential segments.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Engineering and research activities are performed at our global test sites and facilities and our products are tested in conditions and locations similar to those in which they are intended to be used. We invest time up 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 number of parts required to assemble new products, as well as designing products to move more efficiently through the manufacturing process. We strive to make improvements to our new product development system as part of our continuing focus on Lean methods to shorten development time and reduce costs, while also improving quality.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Production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manufacturing facilities are designed to provide efficient and flexible assembly-line manufacturing of our products. In addition to most final assembly, we have strategically identified specific core manufacturing competencies for vertical integration, such as injection molding, extrusion, welding, stamping, fabrication, laser cutting, painting, machining, and aluminum die casting, and have chosen outside vendors to provide other services, where applicable. We design component parts through collaboration with our vendors, contract with them for the development of tooling, and subsequently enter into agreements with such vendors to purchase component parts manufactured using the tooling. We also have agreements with third-party manufacturers to produce certain standalone end-products on our behalf. In addition, our vendors regularly test new technologies to be applied in the design and production of component parts. Our manufacturing operations include robotic and computer-automated equipment intended to speed production, reduce costs, and improve resource use and the quality, fit, and finish of our products. Our operations are also designed to be flexible enough to accommodate product design changes that are necessary to respond to market conditions and changing customer requirements.</w:t>
      </w:r>
    </w:p>
    <w:p>
      <w:pPr>
        <w:spacing w:after="0" w:line="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order to utilize our manufacturing facilities and technology more efficiently and effectively, we pursue continuous improvements in our manufacturing processes with the use of Lean methods that are intended to streamline work and eliminate waste. Additionally, we use computer-aided design and manufacturing systems to shorten the time between initial concept and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 production. DFM/A principles are used throughout the product development process to optimize product quality and reduce cost. We spend considerable effort to reduce manufacturing costs and enhance quality through Lean methods and process improvement, product and platform design, application of advanced technologies, enhanced environmental management systems, safety improvements, and improved supply-chain management.</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Professional segment products and Residential segment lawn and garden products are generally manufactured throughout the year with peak production generally occurring ahead of the key selling seasons for certain of our businesses and product lines that are more subject to seasonality. However, our Residential segment snow thrower products are generally manufactured in the summer and fall months but may be extended into the winter months, depending upon weather conditions in key regions, and the related demand for such products. Our production levels and inventory management goals are based on estimates of wholesale and retail demand for our products, taking into account production capacity; commodity, component parts, and labor availability; timing of shipments; and field inventory levels. Our production system generally utilizes Kanban, supplier pull, and build-to-order methodologies in our manufacturing facilities, as appropriate, for the business units they support in order to better align the production of our products to meet customer demand. We believe this has resulted in improved service levels for our participating suppliers, distributors, dealers, and other channels. We may also periodically idle production at our manufacturing facilities in order to allow for maintenance, rearrangement, capital equipment installation, seasonality, and as needed, to adjust for market demand, facility renovation projects, and other factors. Production pauses of this nature are generally not materially disruptive to our business and are considered to be normal.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 Components, Parts, and Accessories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purchase commodities, components, parts, and accessories for use in our manufacturing process and end-products to be sold as stand-alone end-products. Our primary cost exposures for such items used in our products are with steel, aluminum, petroleum and natural gas-based resins, linerboard, copper, lead, rubber, engines, transmissions, transaxles, hydraulics, electrification components, and others,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 However, most of the commodities, components, parts, and accessories used in our manufacturing process and end-products, or to be sold as stand-alone end-products, are exposed to commodity cost changes, including, for example, as a result of inflation, changing prices, foreign currency fluctuations, tariffs, duties, trade regulatory actions, industry actions, changes to international trade policies, agreements, and/or regulation and competitor activity, including antidumping and countervailing duties on certain products imported from foreign countries, including certain engines imported into the U.S. from China. For additional information regarding changing costs of commodities, refer to Part II, Item 7A, "Quantitative and Qualitative Disclosures about Market Risk," of this Annual Report on Form 10-K in the section entitled "Commodity Cost Risk."</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commodities, components, parts, and accessories utilized in our products are generally commercially available from a number of sources. Although we regularly monitor the adequacy of the supply of our commodities, components, parts, and accessories, and the financial health of the companies in our supply chain, and use alternative suppliers when necessary and available, financial hardship, insufficient demand planning, and/or the inability of companies throughout our supply chain to deliver on supply commitments, requirements, and/or demands may cause disruptions in our ability to procure the commodities, components, and parts required to manufacture our products.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and Warranty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and labor, and other expenses for non-maintenance repairs. We also sell separately priced extended warranty coverage on select products for a prescribed period after the original warranty period expires. Warranty coverage generally does not cover operator abuse or improper use. An authorized distributor or dealer must perform warranty work. Distributors and dealers submit claims for warranty reimbursement and are credited for the cost of repairs, labor, and other expenses as long as the repairs meet our prescribed standards. Service support outside of the warranty period is provided by authorized distributors and dealers at the customer's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Safety and Liability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rigorous product safety standards and continually work to improve the safety and reliability of our products. We monitor for accidents and possible claims, and establish liability estimates based on internal evaluations of the merits of individual claims. We purchase insurance coverage for catastrophic product liability claims for incidents that exceed our self-insured retention levels.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patents, trademarks, and trade secrets related to our products in the U.S. and certain countries outside the U.S.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 from attempting to develop similar products. We are not materially dependent on any one or more of our patents; however, certain TTC trademarks that contribute to our identity and the recognition of our products and services, including but not limited to the Toro® name and logo, are an integral part of our business.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certain patents issued by the U.S. Patent and Trademark Office ("USPTO") and foreign patent offices to help avoid potential liability with respect to others' patents. Additionally, we periodically review competitors' products to prevent possible infringement of our patents by others. We believe these activities help us minimize our risk of being a defendant in patent infringement litigation. From time to time, we are involved in patent litigation cases, including cases by or against competitors, where we are asserting or defending against claims of patent infringement.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Similarly, we periodically monitor various trademark registers and the market to prevent infringement of and damage to our trademarks by others. From time to time, we are involved in trademark oppositions where we are asserting our trademarks against third-parties who are attempting to establish rights in trademarks that are confusingly similar to ours. We believe these activities help minimize risk of harm to our trademarks and help maintain distinct products and services that we believe are well regarded in the marketplace. For a description of our material intellectual property legal proceedings, refer to the heading titled "Litigation" within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our global presence in key markets that are subject to seasonal weather patterns, some of our businesses are seasonal. Overall, our seasonal shipment volumes are generally a function of the key selling seasons of our channel partners based on their industry, geographic location, and the nature and intended purpose of our products in relation to the correlating season. Seasonal weather patterns can impact the timing of the key selling seasons of our channel partners, which may cause our quarterly financial results to differ between fiscal years as demand for our products and related shipment volumes can shift between quarters. Such shifts in the demand for our products and related shipment volumes may result in a negative or positive impact on our net sales and other operating results for a particular period.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shipment volumes generally precede and overlap the key selling seasons of our channel partners in order to better allow our channel partners to align field inventory levels with the anticipated retail demand from end-customers. As a result, our shipment volumes have historically been the highest in our fiscal second quarter, and retail demand for our products is generally highest in our fiscal third quarter. Typically, our accounts receivable balances increase in the first half of our fiscal year as a result of higher shipment volumes and extended payment terms made available to our customers. Accounts receivable balances typically decrease in the second half of our fiscal year when payments are received. Our financing requirements are subject to variations due to seasonal changes in working capital levels, which typically increase in the first half of our fiscal year and decrease in the second half of our fiscal year. Seasonal cash requirements of our business are financed from a combination of cash flows from operations, cash on hand, and borrowings under our revolving credit facility, as applicable.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Shipments of our Residential segment products tend to be more seasonal than our Professional segment products, with shipments of lawn and garden products occurring primarily between February and June, depending upon seasonal weather conditions and product demand. Shipments of snow thrower products occur primarily between July and January, depending upon pre-season demand, in-season snowfalls, and product availability. Opposite seasons in global markets in which we sell our Residential products somewhat moderate this seasonality of our Residential segment product sales.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Seasonality of Professional segment product sales also exists but is slightly tempered because the selling season in the Southern U.S. and our markets in the Southern hemisphere generally continue for a longer portion of the year than in Northern regions of the world. Our BOSS and Ventrac brands offer a portfolio of counter-seasonal snow and ice management products in our Professional segment with our shipments of snow and ice management products occurring primarily between April and December, which can result in variability of shipment volumes depending upon pre-season demand, in-season snowfalls, and product availability. Additionally, our rental, specialty, and underground construction business is generally less seasonal than certain of our Professional segment businesses primarily due to the strong presence of certain of the underlying brands in the Southern U.S. markets and the inherent nature of the underground construction market being less impacted by seasonal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Weather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seasonal weather conditions in particular geographic regions or markets, specifically severe wet or dry conditions, as well as significant weather events such as fires, hurricanes, tornados, drought, rainfall, unseasonably warm winter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months, or other weather events, including those exacerbated by global climate change, may adversely or positively affect sales, demand, and field inventory levels of some of our products. In addition, weather conditions in key regions can cause disruption in our seasonality trends and supply chain, which may impact our ability to procure the commodities, components, parts, and accessories needed to manufacture our products to meet the needs of our customers, and such disruptions may adversely or positively affect sales, demand, and field inventory levels of some of our products. For example, persistent hot and dry weather patterns or excessive snowfall across key regions may impact the rate at which inventory needs to be replenished either negatively or positively.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Distribution, and Marketing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market and sell the majority of our products through more than 150 distributors worldwide, as well as a large number of equipment dealers, irrigation dealers and distributors, mass retailers, hardware retailers, equipment rental centers, and home centers, as well as online and direct to end-users in more than 125 countries. Our distribution networks are intended to assure quality of sales and market presence, as well as to provide effective after-purchase service and support. Overall, we believe that in the long-term we are not dependent on any single customer. While the loss of any substantial customer could have a material adverse short-term impact on our business, we believe that our diverse distribution channels and customer base should reduce the long-term impact of any such loss.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Professional segment products are sold to distributors and dealers primarily for resale to golf courses, sports fields, contractors, government customers, and homeowners who prefer professional solutions, and in some markets for resale to dealers. We sell some Professional segment products directly to government customers and municipalities and rental companies, as well as to end-users in certain markets. Select irrigation and lighting products are sold to professional irrigation and lighting distributors and dealers, and certain professional-grade retail irrigation products are sold to home centers. Products for the rental, specialty, and underground construction markets are sold to dealers and rental companies, as well as direct to end-users in certain markets. Landscape contractor turf products are also sold to dealers. Snow and ice management products are primarily sold to distributors and dealers for resale to contractors.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segment products, such as walk power mowers, zero-turn riding mowers, and snow throwers, are generally sold to home centers, mass retailers, dealers, and hardware retailers, as well as online and direct to end-users. In certain markets, these same products are sold to distributors for resale to hardware retailers and dealers. Yard tools and garden equipment products are primarily sold to home centers, mass retailers, and hardware retailers.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a wholly-owned domestic distribution company. Our primary purpose in owning a domestic distributorship is to improve operations and test and deploy new strategies and business practices that could be replicated by our independent distributors, as well as facilitating ownership transfers.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marketing strategy is to maintain distinct brands and brand identification for Toro, Ditch Witch, eXmark, Spartan, BOSS, Ventrac, American Augers, Subsite, HammerHead, Radius, Perrot, Hayter, Unique Lighting Systems, Irritrol, and Lawn-Boy products. Across our brands, we market our Professional and Residential segment products during the appropriate seasons through multiple channels, including digital and online media, radio, print, direct mail, email, television, and social media. Most of our advertising and marketing efforts emphasize our brands, products, features, and other valuable trademarks. Advertising is purchased by us, through our agency partners, as well as through cooperative programs with distributors, dealers, and retailers.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 Arrangements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party to a joint venture with Huntington Distribution Finance, Inc. ("HDF"), a subsidiary of The Huntington National Bank, established as Red Iron Acceptance, LLC ("Red Iron"), the primary purpose of which is to provide inventory financing to certain distributors and dealers of certain of our products in the U.S. For further information on this joint venture, refer to Note 7, </w:t>
      </w:r>
      <w:r>
        <w:rPr>
          <w:rFonts w:ascii="Times New Roman" w:cs="Times New Roman" w:eastAsia="Times New Roman" w:hAnsi="Times New Roman"/>
          <w:sz w:val="18"/>
          <w:szCs w:val="18"/>
          <w:i w:val="1"/>
          <w:iCs w:val="1"/>
          <w:color w:val="auto"/>
        </w:rPr>
        <w:t>Investment in Joint Venture</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party to inventory financing arrangements with Red Iron, Huntington Commercial Finance Canada, Inc. ("HCFC"), and other third-party financial institutions (collectively, the "financial institutions") which provide inventory financing to certain dealers and distributors of certain of our products in the U.S. and internationally. For further information on these inventory financing arrangements, refer to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agreements with third-party financing companies to provide financing options to end-customers throughout the world. The purpose of these agreements is to provide end-users of our products alternative financing options when purchasing our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Account Terms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we provide financing in the form of open account terms directly to home centers and mass retailers, general line irrigation dealers, certain domestic and international distributors and dealers, ag-irrigation dealers and distributors, government customers, and rental companies.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Order Backlog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order backlog represents unfulfilled customer orders at a point in time. The dollar value of our order backlog is equal to the gross sales value that we expect to bill to the customer and is not reduced for expected variable consideration related to certain of our sales promotions and incentives programs. Order backlog is one of many indicators of business conditions within the markets and industries that we operate; however, our order backlog is considered more representative of business conditions than an indicator of our expectation of our future net sales because the dollar value of our order backlog is a gross amount that has not yet been reduced for the variable consideration associated with certain of our sales promotions and incentives programs and because backlog can fluctuate for a number of reasons, including the seasonality of our business, product mix, pricing actions, manufacturing and shipping schedules, cancellation and rescheduling of orders by our customers, and the timing of when orders are originally placed by customers and when we are able to fulfill such orders.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global business operations result in us competing with many U.S. and non-U.S. companies across our various markets, industries, and product offerings. These competitors and the degree of competition vary widely by industry, product line, end market, geographic scope and/or geographic location, including some competitors that have substantially larger operations and financial resources than we do and some that have smaller operations offering various capabilities to customers. We also experience a certain level of competition among our own brands within certain industries and end markets. Because of the diversity of our product portfolios and markets, our businesses typically have a different set of competitors in each geographic area and end market in which they participate. Accordingly, estimating the number of competitors or precise market share is challenging; however, we believe that we are a principal competitor in most of our industries and markets.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competitive factors in our markets are product innovation; quality and reliability; pricing and sales programs; product support and customer service; warranty; brand and reputation; channel relationships; shelf space and product availability; and financing options. We believe we offer total solutions and full service packages with high quality products that have the latest technology and design innovations. In addition, by selling our products through a network of distributors, dealers, mass retailers, hardware retailers, and home centers, as well as online and direct to end-users, users of our products are offered comprehensive service support during and after the warranty period. We believe that we have a competitive advantage because we manufacture a broad range of product lines, we are committed to product innovation and customer service, we have a strong history in, and focus on, the markets in which our businesses operate, and our distribution channels position us well to compete in various markets.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Residential segment products generally face a higher volume of competition than our Professional segment products given the relatively low barriers to entry resulting in numerous other manufacturers selling products that compete directly with our products. Internationally, our Residential segment products face more competition than in the U.S. because many foreign competitors design, manufacture, market, and sell products in their respective countries. We experience this competition primarily in Europe. In addition, fluctuations in the value of the U.S. dollar affect the price of our products in foreign markets, thereby impacting their competitiveness. We provide pricing support to foreign customers, invoice in local currency, and execute foreign currency derivative hedging instruments, as appropriate, to remain competitive in international markets.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 and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Guiding Principles and our Purpose, Vision, and Mission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guiding principles, we believe our success is deeply rooted in caring relationships built on trust and integrity. We believe these relationships are the foundation of our market leadership in innovation and solutions that make outdoor environments beautiful, productive and sustainable. We are committed to fostering a meaningful and enriching culture and engaging employee experience. We believe our commitment to employee wellness and environmental stewardship create a sense of community, allowing employees to take pride in their jobs and live the TTC values.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commitment to our human capital resources is key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Purpose: To help our customers enrich the beauty, productivity and sustainability of the 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Vision: To be the most trusted leader in solutions for the outdoor environment. Every day. Everywhere.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To deliver superior innovation and to deliver superior customer care.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employees are guided further by our global Code of Conduct, which provides a framework for our actions and is the foundation of our partnership with TTC stakeholders—customers, suppliers, shareholders, communities, employees and others. Our goal is to foster a culture of trust and respect for all stakeholders and create a productive, supportive and thriving work environment for all TTC employees.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Employees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2025, we employed an average of 9,791 employees. The total number of employees as of October 31, 2025 was 9,227.</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Unions and Collective Bargaining Agreements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31, 2025, approximately 9.4 percent of our employees were represented by a union under a collective bargaining agreement. Our collective bargaining agreements typically are for terms of three to five years, and from time to time, our collective bargaining agreements expire and come up for renegotiation. We have four collective bargaining agreements set to expire in March 2026, May 2026, October 2026, and October 2028, as well as one agreement with an indefinite term. We consider our employee relations to be good and currently do not expect any significant difficulties in renewing these agreements. We have not experienced any strikes or work stoppages in the past five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safety of our employees is paramount to us. We provide mandatory safety trainings each month in our production facilities, which are designed to focus on empowering our employees with the knowledge and tools they need to make safe choices and to mitigate risks. Supervisors also complete safety management courses. In addition to traditional training, we use safety scorecards, standardized signage, and visual management throughout our facilities. Safety best practices are also regularly reviewed by management and TTC's Board of Directors, and featured in our employee newsletters and town halls.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all employees with the opportunity to share their opinions and feedback on our culture through an engagement survey. Results of the survey are measured and analyzed to enhance the employee experience, promote employee retention, drive change and leverage the overall success of our organization.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strive to prepare our teams and talent to deliver on the company's commitments to excellence by providing all employees a wide range of professional development opportunities, both formal and informal, at all stages in their careers. Our formal career development offerings include apprenticeships, job training, mentoring and coaching, leadership development, tuition reimbursement, a diverse curriculum of learning programs, leadership development experiences, vocational training and external partnerships across the globe. One of our unique leadership development programs is our Leadership in Motion program, a learning experience for nominated current and future TTC leaders to enhance leadership skills and collaborate with TTC colleagues in a cross-functional setting. The global program expands employee networks, provides visibility within the company, and builds capabilities needed for TTC’s future. In small groups, participants work on a challenge critical to the company, such as technological innovation, communications, diversifying the workforce and talent retention. Over three months, they learn as a team, use newly gained skills and ultimately present recommendations related to their challenge to our Enterprise Leadership Team. Insights, themes and recommendations from cohort teams have contributed to actions in many areas for the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Wellness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health and wellness of our employees are critical to our success. We provide our employees with access to a variety of innovative, flexible and convenient health and wellness programs, which include but are not limited to, 24/7 call-in service access to a licensed physician, on-site nurses at some of our manufacturing sites to monitor employee health, safety, and wellness on a daily basis, various mobile apps that provide physical and mental well-being support. Such programs are designed to support employees’ physical and mental health by providing tools and resources to help them improve or maintain their health status and encourage engagement in healthy behaviors.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Inclusion and Belonging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culture, rooted in excellence, integrity, and belonging, promotes a safe and welcoming environment where all employees can be their authentic self, both at work and beyond. We strive to nurture an inclusive community where everyone thrives – our colleagues, customers, partners, and communities. Our team members are encouraged to leverage their unique strengths and experiences to address challenges and drive innovation. We celebrate the diverse cultures and backgrounds of those who enrich our world daily. Together, we strive to foster a company culture and industry reputation that embodies collaboration and a genuine sense of belonging for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compensation market benchmarking on a regular basis to provide competitive pay to attract and retain superior talent. In addition to annual base salaries, our total rewards, which vary by country/region, can include annual incentive opportunities, stock-based compensation awards, a 401(k) plan with employee matching opportunities, discretionary profit-sharing contribution to employee retirement plan accounts, healthcare and insurance benefits, health savings and flexible spending accounts, paid time off, family leave, family care resources, flexible work schedules, adoption and surrogacy assistance, employee assistance programs, tuition assistance, and certain on-site services, such as health centers and fitness centers, among many others.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Giving and Community Involvement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heart of TTC is our commitment to people, and we believe that a satisfying life comes from contributing to, and engaging with, the communities where we live and work. Community support is core to our culture and our efforts reflect a dedication to action and engagement that enriches the lives, communities, industries and land that we serve. Our community efforts center on four areas: Employees, Community, Industry and "Land. Water. Thrive." Through employee volunteerism and donations, corporate giving, and in-kind product donations, we enhance and beautify outdoor spaces while also supporting the shared value of our partner communities and organization.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around the world volunteer with local charitable and civic organizations to complete beautification, preservation, water conservation, community health, and housing and youth enrichment projects, including supporting the beautification and preservation of outdoor environments, water conservation, community health, housing and youth enrichment. To help our employees make a meaningful impact on organizations that are important to them and us, we provide eligible employees in the U.S. up to 20 hours paid time off to volunteer.</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"Land. Water. Thrive." effort, we provide immersion experiences for our employees to work with smallholder farmers in developing countries to improve land productivity and agricultural water practices while also strengthening our employees’ empathy and customer-focused approach to problem solving.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Rights Policy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committed to upholding human rights in all respects of our global operations under The Toro Company Human Rights Policy. We believe that we have a responsibility to ensure that human rights are understood and observed in every location in which we operate. We strive to foster safe, inclusive and respectful workplaces wherever we do business, including prohibiting all forms of child labor and forced labor including indentured labor, bonded labor, military labor, slave labor and any form of human trafficking. We expect our business partners and suppliers to comply with local labor and employment laws wherever they operate. We encourage each other to seek guidance on our Code of Conduct or other issues without fear of retaliation of any kind. Employees may anonymously report concerns, misconduct or suspected violation of the Code through our confidential web-based reporting tool or over the telephone through our Ethics helpline.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Additional information is included in our Fiscal 2024 Sustainability Report, which is available on our website under the "Sustainability" section of our website located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Information contained or referenced on our website, including in our Sustainability Report, is not incorporated by reference and does not form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and Other Governmental Regulation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operations, facilities, and products are subject to numerous international, federal, state, and other governmental laws, rules, and regulations relating to, among others, climate change; emissions to air, including Tier 4 or similar engine emission regulations; discharges to water; restrictions placed on water usage and water availability; product and associated packaging; use of certain chemicals; restricted substances, including "conflict minerals" disclosure rules; recycling and waste disposal; import and export compliance, including country of origin certification requirements; worker and product user health and safety; energy efficiency; extended producer responsibility; outdoor noise laws; and the generation, use, handling, labeling, collection, management, storage, transportation, treatment, and disposal of hazardous substances, wastes, and other regulated materials. For example:</w:t>
      </w:r>
    </w:p>
    <w:p>
      <w:pPr>
        <w:spacing w:after="0" w:line="79" w:lineRule="exact"/>
        <w:rPr>
          <w:sz w:val="20"/>
          <w:szCs w:val="20"/>
          <w:color w:val="auto"/>
        </w:rPr>
      </w:pPr>
    </w:p>
    <w:p>
      <w:pPr>
        <w:jc w:val="both"/>
        <w:ind w:left="340" w:hanging="332"/>
        <w:spacing w:after="0" w:line="253"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EPA, the California Air Resources Board ("CARB"), and similar regulators in other U.S. states and international jurisdictions in which we sell our products have phased in, or are phasing in, emission regulations setting maximum emission standards for certain equipment. Specifically, these agencies from time to time adopt increasingly stringent engine emission regulations. Following the U.S. EPA implementation of Tier 4 emission requirements applicable to diesel engines, China, the European Union ("EU") and its member states, and the United Kingdom have adopted similar regulations. CARB's two-phase implementation of net-zero emissions requirements for small off-road engines, like those contained in lawn and garden equipment, began for all products with model year 2024 and onward.</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Australian regulators adopted the Treasury Laws Amendment (Financial Market Infrastructure and Other Measures) Bill 2024, which requires large and medium-sized companies to begin reporting on climate-related risks and opportunities, and greenhouse gas (GHG) emissions, in their annual reports for financial years commencing after January 1, 2025.</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the SEC adopted rules under SEC Release No. 33-11275, The Enhancement and Standardization of Climate-Related Disclosures for Investors. Shortly after adoption, the SEC voluntarily stayed the rule, and the current administration has chosen not to defend the rule in court. As a result, the rule never took effect, and its future remains uncertain.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California passed two bills that will require certain companies doing business in the state to disclose GHG emissions and climate-related financial risk information. Senate Bill 253 (SB 253) requires CARB to develop and adopt regulations mandating annual disclosure of Scope 1, 2, and 3 GHG emissions, with certain emissions data subject to third-party assurance. Disclosure of Scope 1 and 2 emissions begins in 2026 for the 2025 reporting year, and Scope 3 emissions disclosure begins in 2027 for the 2026 reporting year. SB 253 applies to public and private companies with total annual revenues exceeding $1 billion that do business in California.</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Senate Bill 261 (SB 261) requires biennial disclosures posted on a company’s website related to climate-related financial risks and measures adopted to reduce and adapt to such risks. SB 261 applies to companies with total annual revenues exceeding $500 million. The Ninth Circuit Court of Appeals has granted a stay of enforcement of the January 1, 2026 filing deadline for SB 261 pending the outcome of an appeal process.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SB 253 and SB 261 have been challenged in the U.S. District Court for the Central District of California. On September 27, 2024, the California Governor signed Senate Bill 219 (SB 219), which extended CARB’s deadline to promulgate implementing regulations for SB 253 until July 1, 2025 but did not change the reporting deadlines. In October 2025, CARB staff indicated that adoption of final regulations under SB 253 and SB 261 will move to Q1 2026 rather than late 2025 as previously anticipated. CARB continues to evaluate stakeholder feedback on threshold definitions, reporting timelines, Scope 3 methodologies, and assurance requirements.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 Corporate Sustainability Reporting Directive (CSRD) applies to both EU and non-EU in-scope entities and would require disclosure of various metrics relating to climate change, biodiversity, workforce, supply chain, and business ethics. In addition to CSRD, the EU has proposed other sustainability-related measures, including the Corporate Sustainability Due Diligence Directive (CSDDD) and the EU Taxonomy. In February 2025, an Omnibus simplification package related to CSRD, CSDDD and the EU Taxonomy was proposed. In December 2025, The EU Council and Parliament reached a provisional agreement on the Omnibus simplification package, significantly amending the CSRD, CSDDD and the EU Taxonomy to reduce the scope and reporting burdens for many companies. The agreement is expected to be formally approved and published in late 2025 or early 2026. Accordingly, if the agreement is formally approved, TTC would not be subject to the reporting requirements of CSRD, CSDDD and the EU Taxonomy. Lastly, the EU implemented the Carbon Border Adjustment Mechanism (CBAM), which is expected to impose additional compliance obligations in the future. TTC is a reporting entity under CBAM and management is monitoring the development of implementing regulations.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government, several U.S. states, and certain international jurisdictions in which we sell our products, including the EU and each of its member states, have implemented one or more of the following: extended producer responsibility laws, rules, or regulations, which are intended to reduce waste and environmental and human health impact, and require manufacturers to label, collect, dispose, and recycle certain products, including some of our products, at the end of their useful life, including, but not limited to (i) the Waste Electrical and Electronic Equipment (WEEE) Directive,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8"/>
          <w:szCs w:val="18"/>
          <w:color w:val="auto"/>
        </w:rPr>
        <w:t>which mandates the labeling, collection, and disposal of specified waste electrical and electronic equipment; (ii) the Restriction on the use of Hazardous Substances (RoHS) Directive or similar substance level laws, rules, or regulations, which restrict the use of several specified hazardous materials in the manufacture of specific types of electrical and electronic equipment; (iii) the Registration, Evaluation, Authorization and Restriction of Chemicals (REACH) Regulation or similar substance level laws, rules, or regulations that require notification of use of certain chemicals, or ban or restrict the use of certain chemicals; (iv) the Battery Regulation, which regulates the manufacture and disposal of batteries; (v) country of origin laws, rules, or regulations, which require certification of the geographic origin of our finished goods products and/or components used in our products through documentation and/or physical markings, as applicable; (vi) energy efficiency laws, rules, or regulations, which are intended to reduce the use and inefficiencies associated with energy and natural resource consumption and require specified efficiency ratings and capabilities for certain products; (vii) outdoor noise laws, which are intended to reduce noise emissions in the environment from outdoor equipment; (viii) conflict minerals laws, such as the Dodd-Frank Wall Street Reform and Consumer Protection Act and the rules promulgated by the SEC, which require specific procedures for the determination and disclosure of the use of certain minerals, known as "conflict minerals," which are mined from the Democratic Republic of the Congo and adjoining countries; (ix) other product substance restriction laws, some of which require certain labeling of products, such as California Proposition 65; (x) electromagnetic compatibility laws and regulations, such as the EU Electromagnetic Compatibility (EMC) Directive, and similar laws and regulations in other markets; (xi) wireless product type approvals and licenses in global markets and the EU Radio Equipment Directive and similar laws and regulations related to wireless and radio usage; and (xii) supply chain transparency laws and regulations addressing modern slavery and human trafficking.</w:t>
      </w:r>
    </w:p>
    <w:p>
      <w:pPr>
        <w:spacing w:after="0" w:line="11" w:lineRule="exact"/>
        <w:rPr>
          <w:sz w:val="20"/>
          <w:szCs w:val="20"/>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various federal, state, and international laws, rules, and regulations that are designed to protect users, including rules and regulations of the U.S. Consumer Product Safety Commission.</w:t>
      </w:r>
    </w:p>
    <w:p>
      <w:pPr>
        <w:ind w:left="340" w:right="2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vehicle and trailered products may be subject to various federal, state and international laws, rules and regulations related to vehicle safety and compliance with road regulations and safety, including the U.S. National Highway Transportation Safety Administration.</w:t>
      </w:r>
    </w:p>
    <w:p>
      <w:pPr>
        <w:ind w:left="340" w:hanging="332"/>
        <w:spacing w:after="0" w:line="26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assembly of products within our facilities must comply with environmental regulations addressing air emissions, wastewater discharge, storm water run-off, and hazardous waste disposal.</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Compliance with existing laws, rules, and regulations has not historically had a material impact on our capital expenditures, earnings or global competitive position. With respect to acquired properties and businesses, we conduct due diligence regarding potential exposure to environmental liabilities and overall regulatory compliance but cannot be certain that we have identified or will identify all adverse environmental conditions or non-compliance with applicable laws, rules and regulations. We are also involved in the evaluation and environmental clean-up of a limited number of properties currently and previously owned. We do not expect that these matters will have a material adverse effect on our consolidated financial position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Available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Toro Company was incorporated in Minnesota in 1935 as a successor to a business founded in 1914 and reincorporated in Delaware in 1983. Our executive offices are located at 8111 Lyndale Avenue South, Bloomington, Minnesota, 55420-1196, and our telephone number is (952) 888-8801.</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a U.S. public reporting company under the Exchange Act, and file reports, proxy statements, and other information with the SEC. Copies of these reports, proxy statements, and other information can be accessed from the SEC's home page on the Internet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We make available, free of charge on our website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"Investors" link and then the "Financials &amp; Filings"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We also provide corporate governance and other information, including our sustainability report, on our website. The information contained on our website or connected to our website is not incorporated by reference into, and should not be considered part of, this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are material risk factors known to us that could materially adversely affect our business, reputation, operating results, industry, financial position, or future financial or operational performance. The risks described below are not the only risks we face. Additional risks not presently known to us or that we currently deem immaterial may also impair our business, reputation, operating results, industry, financial position, or future financial or operational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summary is not complete and should be read in conjunction with the more detailed risk factors set forth below.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Operational Risks</w:t>
      </w:r>
    </w:p>
    <w:p>
      <w:pPr>
        <w:spacing w:after="0" w:line="121" w:lineRule="exact"/>
        <w:rPr>
          <w:sz w:val="20"/>
          <w:szCs w:val="20"/>
          <w:color w:val="auto"/>
        </w:rPr>
      </w:pPr>
    </w:p>
    <w:p>
      <w:pPr>
        <w:ind w:left="34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and earnings have been and will likely continue to be adversely affected by economic conditions and outlook in the locations in which we conduct business.</w:t>
      </w: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enhance existing products and develop and market new products, demand for our products may decrease adversely impacting our net sales and earnings.</w:t>
      </w:r>
    </w:p>
    <w:p>
      <w:pPr>
        <w:ind w:left="340" w:right="2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and/or shortages in commodities, components, parts, or accessories has adversely affected and could continue to adversely affect our business.</w:t>
      </w:r>
    </w:p>
    <w:p>
      <w:pPr>
        <w:ind w:left="340" w:right="2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conditions exacerbated by global climate change, present chronic and acute physical risks, and have previously impacted, and may continue to impact, demand for some of our products and/or cause disruptions in our operations.</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Professional segment net sales are dependent on several factors, including changes to the golf, grounds, irrigation, and construction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Residential segment net sales are dependent on several factors, including product placement, consumer confidence and spending levels and changing customer buying patterns.</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 have adversely impacted and could continue to adversely impact our operating results.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which could harm our business and operating results.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commodities, components, parts, and accessories have adversely affected and could continue to adversely affect our profit margins.</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our facilities and those of our suppliers and other third parties.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a strong, effective labor force.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and other operating results are dependent upon us and our channel customers maintaining appropriate inventory levels.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our channel customers, and changes in their purchasing patterns could negatively impact sales.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the availability and terms of credit offered to our customers, which affect purchasing behavior and could adversely impact our net sales.</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effective information systems and our domain names.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currency, regulatory, and political risks that could impact our business.</w:t>
      </w:r>
    </w:p>
    <w:p>
      <w:pPr>
        <w:spacing w:after="0" w:line="9"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disruptions to our operations from time to time as result of facility changes and renovations.</w:t>
      </w:r>
    </w:p>
    <w:p>
      <w:pPr>
        <w:jc w:val="both"/>
        <w:ind w:left="340" w:hanging="332"/>
        <w:spacing w:after="0" w:line="234"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associated with the imposition of, or changes to, tariffs, which have impacted and could further negatively impact trade between, or increase the cost of operating in, or increase the cost of or negatively impact the demand for, our products or our customers’ products in the countries in which we or our customers do business.</w:t>
      </w:r>
    </w:p>
    <w:p>
      <w:pPr>
        <w:spacing w:after="0" w:line="2" w:lineRule="exact"/>
        <w:rPr>
          <w:rFonts w:ascii="Times New Roman" w:cs="Times New Roman" w:eastAsia="Times New Roman" w:hAnsi="Times New Roman"/>
          <w:sz w:val="18"/>
          <w:szCs w:val="18"/>
          <w:color w:val="auto"/>
        </w:rPr>
      </w:pPr>
    </w:p>
    <w:p>
      <w:pPr>
        <w:ind w:left="340" w:hanging="332"/>
        <w:spacing w:after="0" w:line="243"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challenges in harmonizing information technology systems, compliance frameworks, and corporate governance practices related to Tornado Infrastructure Equipment.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Risks</w:t>
      </w:r>
    </w:p>
    <w:p>
      <w:pPr>
        <w:spacing w:after="0" w:line="108" w:lineRule="exact"/>
        <w:rPr>
          <w:sz w:val="20"/>
          <w:szCs w:val="20"/>
          <w:color w:val="auto"/>
        </w:rPr>
      </w:pPr>
    </w:p>
    <w:p>
      <w:pPr>
        <w:ind w:left="340" w:hanging="332"/>
        <w:spacing w:after="0" w:line="246"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to pursue acquisitions and alliances, strong customer relations, and new joint ventures, investments, and partnerships and our recent activities related to Tornado Infrastructure Equipment in this regard involve risk and may prove to be unsuccessful.</w:t>
      </w:r>
    </w:p>
    <w:p>
      <w:pPr>
        <w:jc w:val="both"/>
        <w:ind w:left="340" w:hanging="332"/>
        <w:spacing w:after="0" w:line="249"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environmental, health and safety laws and regulations as well as the impact of increased scrutiny on our sustainability practices, our ability to meet our company sustainability goals, and public perceptions that our products are not environmentally friendly or that our practices are not sustainable could impact our reputation.</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 including in response to the risks described herein or for reasons unrelated to our operations, such as reports by industry analysts, investor perceptions or negative announcements by our customers, competitors or suppliers regarding their own performance, as well as industry or general economic conditions, and other factors beyond our control.</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associated with our ability to achieve our financial projections or other business initiatives, including our Amplifying Maximum Productivity (“AMP”) initiative, in the time periods that we anticipate or at all.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12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impairment, restructuring, and other charges from time to time which harm our operating results.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may harm our operating results.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the availability and cost of our credit arrangements and any downgrade in our credit ratings could adversely affect our access to and increase the cost of such arrangements.</w:t>
      </w:r>
    </w:p>
    <w:p>
      <w:pPr>
        <w:ind w:left="320" w:hanging="312"/>
        <w:spacing w:after="0" w:line="236"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tax standards and policies and/or assumptions underlying estimates could harm our results of operations.</w:t>
      </w: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integration related to Tornado Infrastructure Equipment may erode expected synergies and shareholder value.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121" w:lineRule="exact"/>
        <w:rPr>
          <w:sz w:val="20"/>
          <w:szCs w:val="20"/>
          <w:color w:val="auto"/>
        </w:rPr>
      </w:pPr>
    </w:p>
    <w:p>
      <w:pPr>
        <w:ind w:left="340" w:hanging="332"/>
        <w:spacing w:after="0" w:line="254"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trademarks, and contractual provisions may be insufficient to protect our proprietary rights, or we may infringe the proprietary rights of others.</w:t>
      </w:r>
    </w:p>
    <w:p>
      <w:pPr>
        <w:ind w:left="340" w:hanging="332"/>
        <w:spacing w:after="0" w:line="241"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which is subject to extensive regulation, including new regulators of businesses that we have acquired or may acquire in the future, involves legal and regulatory risks.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product quality issues, product liability claims, and other litigation from time to time.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340" w:hanging="332"/>
        <w:spacing w:after="0" w:line="261"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our financial projections or other business and productivity initiatives, which could have an adverse effect on our business, operating results, and financial condition.</w:t>
      </w:r>
    </w:p>
    <w:p>
      <w:pPr>
        <w:ind w:left="340" w:hanging="332"/>
        <w:spacing w:after="0" w:line="260"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executive and other talent or successfully implement key employee transitions, we may be unable to meet strategic objectives and our business could suffer.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Operational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 sales and earnings have been and could continue to be adversely affected by economic conditions and outlook in the locations in which we conduct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Adverse economic conditions and outlook in the U.S. and in other countries in which we conduct business have and could continue to impact our net sales and earnings. These adverse economic conditions include, but are not limited to, business closures, slowdowns, suspensions or delays of production and commercial activity; recessionary conditions; slow or negative economic growth rates; slowdowns or reductions in levels of interest in the game of golf or golf course activity, development, renovation, and improvement; golf course closures; reduced governmental or municipal spending; reduced levels of home ownership, construction, and sales; home foreclosures; negative consumer confidence; reduced consumer spending levels; increased or prolonged high unemployment rates; higher costs, longer lead times, and reduced availability of commodities, components, parts, and accessories, including as a result of transportation-related costs, inflation, changing prices, foreign currency fluctuations, tariffs, and/or duties; inflationary or deflationary pressures; reduced infrastructure spending; the impact of U.S. federal debt, state debt, and sovereign debt defaults and austerity measures by certain European countries; reduced credit availability or unfavorable credit terms for our distributors, dealers, and end-user customers; higher short-term, mortgage, and other interest rates; government shutdowns; and general economic and political conditions and expectations. In the past, some of these factors have caused and may continue to cause our distributors, dealers, and end-user customers to reduce spending and delay or forego purchases of our products, which has had an adverse effect on our net sales and earnings.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continue to enhance existing products and develop and market new products, demand for our products may decrease.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of our strategies is to develop innovative, customer-valued and high-quality products to generate revenue and earnings growth. In the past, our sales from new products, which we define as those introduced in the current and previous two fiscal years, have represented a significant portion of our net sales and are expected to continue to represent a significant portion of our future net sales. We may not be able to compete as effectively and ultimately satisfy the needs and preferences of our customers, unless we can continue to enhance existing products and develop new and innovative products, including by incorporating new, emerging, and/or disruptive technologies that may become preferred by our customers. For example, we have the risks related to developing and marketing electric and alternative fuel products to meet market demands for less greenhouse gas intensive products.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development, improvement, and introductions require significant financial and technological resources, talent, research, planning, design, development, engineering, and testing at the technological, product, and manufacturing process levels, and we may not be able to timely develop and introduce new products, technologies or product improvements. New and innovative competitive products may beat our products to market; be higher quality or more reliable; be more effective, have more features, and/or be less expensive than our products; incorporate new, emerging, and/or disruptive technologies; obtain better market acceptance; or render our products obsolete. Any new products that we develop may not receive market acceptance or otherwise generate any meaningful net sales or profits for us relative to our expectations based on, among other things, investments in manufacturing capacity and commitments to fund advertising, sales incentive and promotion programs, and research and development.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and/or shortages in the availability of commodities, components, parts, or accessories has, and could continue to, adversely affect our business.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supply chain disruptions, natural disasters, antidumping and countervailing duty petitions regarding certain engines imported into the U.S. from China, and other tariffs have, to various and differing degrees, impacted the availability and price of commodities, components, parts, and accessories used in our products. In addition, while most of our commodities, components, parts, or accessories are generally commercially available from a number of sources, certain items are sourced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single suppliers, which has limited, and could continue to limit, the availability of commodities, components, parts, and accessories when such suppliers are unable to meet our production requirements and we are unable to source such items from an alternative supplier in a timely manner to meet our production needs. This occurred at times during the past couple of years. Any continued or new disruption or shortages in the availability of commodities, components, parts, or accessories, including as a result of labor staffing, workforce shortage, or other challenges that our suppliers may experience as a result of financial hardship, pandemics and/or epidemics, natural disasters, and adverse weather, the frequency and intensity of which may be exacerbated by climate change, or other events, our inability to timely or otherwise obtain substitutes for such items, or any deterioration in our relationships with, the financial viability or quality of, or the personnel relationships at, our suppliers, could adversely affect our business and operating results.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Weather conditions, including conditions exacerbated by global climate change, present chronic and acute physical risks, and have previously impacted, and may continue to impact, demand for some of our products and/or cause disruptions in our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Weather conditions in particular geographic regions have adversely impacted, and will likely in the future, adversely affect the sales, demand, and field inventory levels and seasonality trends of some of our products. Weather conditions also have disrupted our own manufacturing and distribution facilities and our supply chain, which has impacted our ability to manufacture product to fulfill customer demand, and such disruptions may occur in the future. For example, drought or unusually wet conditions have had, and may continue to have, an adverse effect on sales of certain Residential and Professional mowing equipment products. Unusually rainy weather or severe drought conditions that result in watering bans, or otherwise, have had, and may continue to have, an adverse effect on sales of our irrigation products, and lower snowfall accumulations in key markets have had, and may continue to have, an adverse effect on sales of our Residential snow thrower products and products of our Professional snow and ice management business. Similarly, adverse weather conditions in one season may negatively impact customer purchasing patterns and net sales for some of our products in another season. For example, lower snowfall accumulations may result in lower winter season revenues for landscape contractor professionals, causing such customers to forego or postpone spring purchases of our mowing equipment products.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our facilities and other operations and those of our channel customers and suppliers have incurred losses and experienced disruptions as a result of certain weather conditions and such losses or disruption may continue due to additional natural disasters, inclement weather, and/or climate change-related events, such as tornadoes, hurricanes, earthquakes, floods, tsunamis, typhoons, drought, fire, other extreme weather conditions, and other natural disasters and events that occur as a result of such events, such as water or other natural resource shortages, rising sea levels, power outages or shortages, or telecommunications failures. Our insurance coverage with respect to natural disasters and other disruptions is limited and is subject to deductibles and coverage limits. Such coverage may not be adequate or may not continue to be available at commercially reasonable rates and terms. The occurrence of any such events could negatively impact our business and operating results.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climate change may exacerbate the frequency and intensity of unfavorable weather conditions, such as fires, hurricanes, tornadoes, drought, water shortages, rainfall, unseasonably warm winter months, or other weather events, many of which have increased in severity in recent years, in geographic areas where our products are manufactured, distributed, sold, and used and where our supply chains are located, and our sales and operating results may be affected to a greater degree than we have previously experienced. Such weather conditions could pose physical risks to our facilities and critical infrastructure in the U.S. and abroad, disrupt the operation of our supply chain and third-party vendors, and may impact our operational results. Additionally, increased frequency and intensity of weather events due to climate change could lead to lost sales as customers prioritize basic needs.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Professional segment includes a variety of products that depend on certain and varied factors.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Professional segment includes a variety of products that are sold by distributors or dealers, or directly to government customers, rental companies, professional and other users, including homeowners, engaged in maintaining and creating properties and landscapes, such as golf courses, sports fields, residential and commercial properties and landscapes, and governmental and municipal properties. Any one or a combination of the following factors, among others, have in the past resulted and could in the future result in a decrease in spending and demand for our products, resulting in an adverse effect on our Professional segment net sales and earnings:</w:t>
      </w:r>
    </w:p>
    <w:p>
      <w:pPr>
        <w:spacing w:after="0" w:line="75" w:lineRule="exact"/>
        <w:rPr>
          <w:sz w:val="20"/>
          <w:szCs w:val="20"/>
          <w:color w:val="auto"/>
        </w:rPr>
      </w:pPr>
    </w:p>
    <w:p>
      <w:pPr>
        <w:ind w:left="340" w:right="20" w:hanging="332"/>
        <w:spacing w:after="0" w:line="261"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revenue for golf courses resulting from a reduction in the level of interest in the game of golf and/or a decrease in rounds played, memberships, and/or food and beverage sales, as applicable;</w:t>
      </w: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investment in golf course renovations and improvements;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new golf course development and golf course closures;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consumer and business spending on property maintenance, such as lawn care and snow and ice removal activities;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or reduced levels of infrastructure improvements and other construction activities;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construction activities for oil, gas, telecommunication, and other utility distribution systems;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acceptance of, and demand for, ag-irrigation solutions for agricultural production;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cash or credit on acceptable terms for our customers to finance new product purchases or rent equipment;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and/or government budgetary constraints resulting in reduced spending for grounds maintenance or construction equipment.</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Residential segment net sales depend on several factors, including product placement, consumer confidence and spending levels, changing buying patterns of customers, and the impact of significant sales or promotional events.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elimination, reduction, or changes in the placement of shelf space assigned to our Residential segment products at mass retailers and home centers have in the past adversely affected and, in the future, could adversely affect our Residential segment net sales. Our Residential segment net sales also depend upon the buying patterns of consumers and changes to buying patterns could result in reduced sales. In addition, as consumers purchase products at home centers and mass retailers that typically offer broader and lower price points than dealers, demand for and sales of our Residential segment products purchased at mass retailers and home centers, as compared to dealers and hardware retailers, have increased, adversely affecting our margins. We believe that our diverse distribution channels and customer base should reduce the long-term impact on us if we were to lose any substantial customer, but the loss of any such customer, a significant reduction in sales to such customers, our inability to maintain adequate product placement at mass retailers and home centers or our inability to respond to future changes in buying patterns of consumers or new distribution channels could have a material adverse impact on our business and operating results. Furthermore, our quarterly or annual results have in the past and could in the future be impacted as a result of the timing of significant sales or promotional events for our Residential products.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mix could adversely impact our financial performance, including profit margins and net earnings.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Professional segment products generally have higher profit margins than our Residential segment products. Accordingly, our financial performance, including our profit margins and net earnings, have been and will continue to be impacted depending on the mix of products we sell during a given period. For example, if we experience lower sales of our Professional segment products that generally carry higher profit margins than our Residential segment products, our financial performance, including profit margins and net earnings, have been and could continue to be negatively impacted. Similarly, within each reportable segment, if we experience lower sales of products that generally carry higher profit margins, our financial performance, including profit margins and net earnings, have been and could continue to be negatively impacted.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which could harm our business and operating results.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are sold in highly competitive markets throughout the world and as a result, we compete with many U.S. and non-U.S. companies across our various markets, industries, and product offerings. These competitors and the degree of competition vary widely by industry, product line, end market, geographic scope and/or geographic location. The principal competitive factors in our industries and markets include product innovation; quality and reliability; pricing and sales promotion and incentive programs; product support and customer service; warranty; brand awareness; reputation; distribution, shelf space, and product placement and availability; and financing options. Some of our competitors have substantially larger operations and greater financial resources than us, and some have smaller operations offering various and/or more specialized capabilities to customers, and they may be able to adapt more quickly to new or emerging technologies and changes in customer preferences, or devote greater or more specialized resources to the development, promotion, and sale of their products or disruptive new products or technologies than we can. In addition, competition could increase if new companies enter the market, existing competitors combine or consolidate their operations or if existing competitors expand their product lines or intensify efforts within existing product lines. Our current products, products and technologies under development, and our ability to develop new and improved products and technologies may be insufficient to enable us to compete effectively with our competitors.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Residential segment products generally face a higher and increasing volume of competition compared to our Professional segment products given the low barriers to entry resulting in numerous other manufacturers selling products that compete directly with our products. Internationally, our Residential segment products typically face more competition than in the U.S. because many foreign competitors design, manufacture, market, and sell products in their respective countries. In addition, fluctuations in the value of the U.S. dollar may affect the price of our products in foreign markets, thereby impacting their competitiveness. Competitors may move manufacturing operations to low cost countries for significant cost and price reductions, and we may not be able to compete, which could harm our business and operating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domain names are critical assets for informing consumers about our brand, but they are increasingly targeted by scams.</w:t>
      </w:r>
    </w:p>
    <w:p>
      <w:pPr>
        <w:spacing w:after="0" w:line="12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face significant risks from cybersquatting, typosquatting, and other domain name scams that target our trademarks, trade names, and brand identity. These activities involve registering domain names that are identical or confusingly similar to our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intellectual property, often for resale at inflated prices or to mislead consumers. Common schemes include: cybersquatting (registering our marks as domain names to demand payment for transfer); typosquatting and look-alike domains (using minor variations of our legitimate domains to divert traffic); and homograph attacks (exploiting internationalized domain names to create visually deceptive domains).</w:t>
      </w:r>
    </w:p>
    <w:p>
      <w:pPr>
        <w:spacing w:after="0" w:line="20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These fraudulent domains may host phishing sites, distribute malware, sell counterfeit goods, or disseminate false information. Such activities can result in: reputational harm through loss of consumer trust and brand dilution; operational disruption through increased costs for monitoring, enforcement, and litigation; and regulatory exposure through potential scrutiny under consumer protection and cybersecurity regulations.</w:t>
      </w:r>
    </w:p>
    <w:p>
      <w:pPr>
        <w:spacing w:after="0" w:line="20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Despite our monitoring and enforcement programs, we cannot guarantee complete prevention or timely remediation of these abuses. If these activities lead to consumer confusion, unauthorized transactions, or data compromise, our business, financial condition, and results of operations could be materially adversely affected.</w:t>
      </w:r>
    </w:p>
    <w:p>
      <w:pPr>
        <w:spacing w:after="0" w:line="7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 of commodities, components, parts, and accessories or our other costs of doing business, have, and could continue to, adversely affect our profit margins and businesses.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purchase commodities, components, parts, and accessories for use in our manufacturing process and end-products or to be sold as stand-alone end-products, such as steel, aluminum, petroleum and natural gas-based resins, linerboard, copper, lead, rubber, engines, transmissions, transaxles, hydraulics, electrification components, and other commodities, components, parts and accessories. Increased costs and/or inflation, increased tariffs, duties, or other charges as a result of changes to U.S. or international trade policies or trade agreements, trade regulation and/or industry activity, or antidumping and countervailing duty petitions on certain products imported from foreign countries, including certain engines imported into the U.S. from China, or the inability of suppliers to continue operations or otherwise remain in business, have affected our profit margins, operating results and businesses and could continue to result in declines in our profit margins, operating results and businesses. Historically, we have mitigated commodity, component, parts, or accessories cost increases, in part, by increasing prices on some of our products and executing on our strategic productivity initiatives, which include, but are not limited to, collaborating with suppliers, reviewing alternative sourcing options, substituting materials, utilizing Lean methods, and engaging in internal cost reduction efforts, all as appropriate. However, during the past couple of years, we experienced higher material, manufacturing, and freight costs, which adversely affected our margins, and we may not be able to fully offset increased commodity, component, parts, or accessories costs in the future. Further, if our price increases are not accepted by our customers and the market, our net sales, profit margins, earnings, and market share could be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efficient operation of our facilities and those of our suppliers, channel customers, mass retailers, and home centers where our products are sold.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Production downtime and/or the inability to produce products at our facilities, and those of our suppliers, or other disruptions have occurred, and could continue to occur, as a result of several factors, including supply chain challenges, labor shortages, natural disasters, inclement weather, man-made disasters or other external events, such as terrorist acts or acts of war, pandemics and/or epidemics, boycotts and sanctions, widespread criminal activities, or protests and/or social unrest, or other events, at or in proximity to any of our facilities or in our manufacturing or other operations, or those of our channel customers, mass retailers or home centers where our products are sold, or suppliers. A work slowdown, strike, or similar action could occur at any one of our facilities, or the facilities of our channel customers and suppliers, and such facilities could fail to renew or enter into new collective bargaining agreements or may have to enter into a new collective bargaining agreement at a facility not currently covered by an agreement. Furthermore, we shift production between our manufacturing facilities from time to time, and open new manufacturing and/or distribution facilities, to align production capacity with production goals. Such events and disruptions could make it difficult or impossible to manufacture or to deliver products to our customers, produce or maintain sufficient inventory of our products, receive commodities, components, parts or accessories from our suppliers, or perform critical functions, which could adversely affect our business globally or in certain regions. Such events also may result in shortages of commodities, components, parts, or accessories; higher fuel, transportation, and commodity costs; and delays in shipments to our channel customers.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us, or our suppliers or channel partners, to hire and/or retain an adequate labor force could adversely affect our business, operating results, and reputation.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labor needs, and those of our suppliers and channel partners, fluctuate throughout the year and by region. During periods of peak manufacturing activity it is often necessary to sharply increase the number of production staff by utilizing new hires and temporary labor. Production staff hired during such periods of peak manufacturing activity may not have the same level of training, competency, experience, or commitment as regular production employees. In addition, due to limited workforce populations in areas around the locations where we, or our suppliers and channel partners, manufacture products or conduct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 or other factors, we, or our suppliers and channel partners, may not have a sufficient pool of individuals with the right skills and experience available to fulfill labor requirements on a cost-effective basis or otherwise.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our suppliers and channel partners, are unable to hire, train, and/or retain a labor force to adequately staff manufacturing operations, perform service or warranty work, or other necessary activities, we could experience disruptions in our manufacturing and other processes, which have in the past adversely impacted, and could continue to adversely impact, our business, operating results, and reputation.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 sales and/or working capital are negatively impacted when we underestimate or overestimate demand for our products or do not maintain appropriate inventory levels.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manage our inventory levels to meet our customers' demand for our products and fulfill existing and future sales order backlog is important for our business. Our production levels and inventory management goals for our products are based on estimates of demand for our products, considering production capacity, timing of shipments, existing sales order backlog, and field inventory levels. Managing inventory levels during an uncertain macroeconomic environment is particularly difficult as a result of demand volatility; changes to production operations, locations and schedule; and supply chain challenges limiting our ability to source an adequate supply of commodities, components, parts, and accessories to meet our production requirements. These factors have resulted in, and could continue to result in, manufacturing inefficiencies and related unfavorable manufacturing variances that have negatively impacted, and could continue to impact, our financial results. Our net sales, margins, net earnings, and/or working capital are negatively impacted when we underestimate or overestimate channel or retail demand for our products, we are not able to manufacture product to fulfill customer demand and existing and future sales order backlog, and/or we do not produce or maintain appropriate inventory levels. Furthermore, such impacts hinder our ability to meet customer demand, result in the loss of customers, and could cause us to incur charges associated with inventory valuation adjustments for excess and obsolete inventories.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are subject to the inventory management decisions of our channel customers.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risks relating to the inventory management decisions and operational and sourcing practices of our distribution network. Our channel customers carry inventories of our products as part of their ongoing operations and adjust those inventories based on their assessments of future needs, including anticipated end-customer demand. Such adjustments have impacted our inventory management and working capital goals as well as operating results, and such adjustments may impact us in the future.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composition of, financial viability of, and the relationships with, our channel customers could negatively impact our business and operating results.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fail to maintain an effective network of channel partners, including distributors, dealers, mass retailers, and home centers, for our products, we may not have adequate market coverage for the optimal level of sales of our products. Additionally, our channel customers may not commit the necessary resources to market and sell our products as we would expect, and/or they may not be successful in marketing and ultimately selling our products. Any weak demand for, or quality issues with, our products may cause our channel customers to reduce or terminate their relationships with us or adversely affect our ability to engage new dealers and distributors or maintain or obtain shelf space at mass retailers and home centers. Changes in the ownership or control of our channel customers could also adversely affect our relationships with them. If we are not able to maintain effective distribution channels, if our channel customers are not successful in marketing and selling our products, or if we experience a significant reduction or cancellation or change in the size and timing of orders from our channel customers, our sales could decline and have an adverse effect on our business and operating results.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adverse economic conditions, business conditions or other events cause a decline in sales by our channel customers or weakens their financial condition, including insolvency or bankruptcy, our net sales and earnings could be adversely affected. Such situation could adversely affect the ability of such customers to pay amounts owed, which could require us to repurchase financed product.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availability and terms of credit offered to our customers.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various floor plan arrangements in order to provide reliable, competitive floor plan financing to certain of our distributors and dealers primarily in the U.S. and Canada to support their businesses and improve our working capital for our other strategic purposes. As a result, we depend on such arrangements for our inventory financing programs. The availability of financing from our floor plan arrangements is affected by many factors, including, among others, the overall credit markets, the credit worthiness of our dealers and distributors, and regulations that may affect such financing providers. Any material changes in the availability or terms of credit offered to our customers by our floor plan financing providers, challenges or delays in transferring new distributors and dealers from any business we might acquire or otherwise to our available financing platforms, any termination or disruption of our floor plan arrangements, or any delay in securing replacement credit sources could adversely affect our sales and operating results.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effective operation of our information systems, software, or information security practices and those of our business partners or third-party service providers.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many information systems and other software that are critical to our business and certain of our products, some of which are managed by third parties. These information systems and software are used to record, process, summarize, transmit, and store electronic information, and to manage or support a variety of business processes and activities, including, among other things, our accounting and financial functions; our manufacturing and supply chain processes; managing personal data or other data relating to our customers, suppliers, and employees; and the data related to our research and development efforts. We may be unable to enhance our existing information systems and software or implement new information systems or software when necessary; may experience unanticipated delays, complications, or expenses in implementing, integrating, and operating our systems; and/or require substantial expenditures or interruptions in operations in connection with any system changes we might pursue, including as may be necessary during the integration of acquisitions. The failure of our information systems or software or those of our business partners or third-party service providers to perform properly, or difficulties encountered in the development of or transfer over to new systems or the modification or upgrade of existing systems, could disrupt our business and harm our reputation, which may result in decreased sales, increased overhead costs, excess or obsolete inventory, and product shortages, causing our business, reputation, financial condition, and operating results to suffer. As we continue to develop internet-connected products and other new, emerging, and/or disruptive technologies, similar risks may also be present in the systems, technology, and software installed within such products.</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we take steps to secure our information systems and software and any access provided by our business partners or third-party service providers, including our computer systems, intranet and internet sites, email and other telecommunications and data networks. However, the security measures we have implemented may not be effective and our systems may be vulnerable to theft, loss, damage, and interruption from a number of potential sources and events, including unauthorized access or security breaches, data privacy breaches, natural or man-made disasters, cyber attacks, computer viruses, malware, phishing, denial of service attacks, power loss, or other disruptive events. Information technology security threats have been increasing in frequency and sophistication. Cyber attacks may be random, coordinated, or targeted, including sophisticated computer crime threats. These threats pose a risk to the security of our systems and networks including those that may be used by our products, and those of our business partners and third-party service providers, and to the confidentiality, availability, and integrity of our data or data of our customers, suppliers or employees. Our business, reputation, operating results, and financial condition could be adversely affected if a significant cyber event or other event, disrupts or shuts down our operations; our confidential, proprietary information or data of our customers, suppliers, or employees is stolen or disclosed; our intranet and internet sites are compromised; data is manipulated or destroyed; we incur costs, are required to pay fines or face other regulatory enforcement actions, or our customers lose confidence in our ability to adequately protect their information in connection with stolen or disclosed customer, employee, or other confidential or sensitive information; we must dedicate significant resources to system repairs or increase cyber security protection; or we otherwise incur significant litigation or other costs. As a result of the SEC rule on cybersecurity disclosure, we are required to disclose, on a current basis pursuant to new Item 1.05 of SEC Form 8-K, any cybersecurity incident that we determine to be material and describe the material aspects of the nature, scope, and timing of the incident, as well as the material impact or reasonably likely material impact of the incident on us, including our financial condition and results of operations. We will also be required to describe, on a periodic basis, our processes, if any, for the assessment, identification, and management of material risks from cybersecurity threats, and describe whether any risks from cybersecurity threats have materially affected or are reasonably likely to materially affect our business strategy, results of operations, or financial condition, our board’s oversight of risks from cybersecurity threats and management’s role in assessing and managing material risks from cybersecurity threats. We have incurred significant costs in an effort to detect and prevent security breaches and incidents, and we may face increased costs and requirements to expend substantial resources in the event of an actual or perceived security breach or incident and to comply with the SEC cybersecurity rule.</w:t>
      </w:r>
    </w:p>
    <w:p>
      <w:pPr>
        <w:spacing w:after="0" w:line="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or failure.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incorporate traditional and generative artificial intelligence (AI) solutions into our information systems, products, offerings, services and features, and these solutions may become important in our operations over time. The ever-increasing use and evolution of technology, including cloud-based computing and AI, creates opportunities for the potential loss or misuse of personal data that forms part of any data set and was collected, used, stored, or transferred to run our business, and unintentional dissemination or intentional destruction of confidential information stored in our or our third party providers' systems, portable media or storage devices, which may result in significantly increased business and security costs, a damaged reputation, administrative penalties, or costs related to defending legal claims. If the content, analyses, or recommendations that AI programs assist in producing are or are alleged to be deficient, inaccurate, or biased, our business, financial condition, and results of operations and our reputation may be adversely affected. AI programs may be costly and require significant expertise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develop, may be difficult to set up and manage, and require periodic upgrades. There is also a risk that we may not have access to the technology and qualified AI personnel resources to adequately incorporate ongoing advancements into our AI initiatives, including access to the licensing of key intellectual property from third parties. Our competitors or other third parties may incorporate AI into their products more quickly or more successfully than us, which could impair our ability to compete effectively and adversely affect our results of operations. Our competition may have access to greater financial and technological resources, giving them a competitive advantage in recruiting, motivating, and retaining sought-after AI professionals. AI also presents emerging ethical issues and if our use of AI becomes controversial, we may experience brand or reputational harm, competitive harm, or legal liability. The rapid evolution of AI, including potential government regulation of AI, will require significant resources to develop, test and maintain our platform, offerings, services, and features to help us implement AI ethically in order to minimize unintended, harmful impact.</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information technology systems require an ongoing commitment of significant resources to maintain, protect, and enhance existing systems and develop new systems. This enables us to keep pace with continuing changes in information processing technology, evolving legal and regulatory standards, the increasing need to protect employee and customer information, changes in the techniques used to obtain unauthorized access to data and information systems, and the information technology needs associated with our evolving products. There can be no assurance that our efforts (including, but not limited to, consolidating, protecting, upgrading, and expanding our systems and capabilities, continuing to build security into the design of our products, and developing new systems to keep pace with continuing changes in information processing technology, including, but not limited to, generative AI platforms) will be successful or that additional systems issues will not arise in the future. For additional information regarding the company's cybersecurity risk management, strategy, and governance, refer to Item 1C. Cybersecurity.</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require significant management attention and financial resources, expose us to difficulties presented by international economic, political, legal, regulatory, accounting, and business factors, and may not be successful or produce desired levels of net sales and earnings.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International markets have been, and will continue to be, a strategic focus area for revenue growth, both organically and through acquisitions. We currently manufacture our products and maintain sales offices in the U.S. and other countries for sale throughout the world. Our net sales outside the U.S. were 19.5 percent, 20.1 percent, and 20.8 percent of our total consolidated net sales for fiscal years 2025, 2024, and 2023, respectively. We believe many opportunities exist in the international markets, and over time, we intend for international net sales to comprise a larger percentage of our total consolidated net sales; however, expanding our existing international operations and entering into additional international markets requires significant management attention and financial resources. Several factors, including the implications of withdrawal by the U.S. from, or revisions to, international trade agreements, foreign trade or other policy changes between the U.S. and other countries, weakened international economic conditions, the impact of sovereign debt defaults by certain European countries, and current wars and related sanctions and other geopolitical tensions could adversely affect our international net sales.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the countries in which we manufacture or sell our products, or in which we otherwise have a presence are, to some degree, subject to political, economic, and/or social instability. As a result, our international operations expose us and our representatives, agents, and channel customers to risks inherent in operating in foreign jurisdictions. These risks include:</w:t>
      </w:r>
    </w:p>
    <w:p>
      <w:pPr>
        <w:spacing w:after="0" w:line="68"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weakened economic conditions;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and/or epidemics;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customizing and/or certifying products for foreign countries;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and increases in infrastructure costs including legal, tax, accounting, and information technology;</w:t>
      </w: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U.S. and foreign governmental controls or regulations;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enhanced trade restrictions and restrictions on the activities of foreign agents, representatives, and channel customers;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revisions to international trade policies or agreements and the imposition or increases in import and export licensing and other compliance requirements, customs duties and tariffs, import and export quotas and other trade restrictions, license obligations, other non-tariff barriers to trade;</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and/or international sanctions against a country, company, person, or entity with whom we do business that would restrict or prohibit our business with the sanctioned country, company, person, or entity;</w:t>
      </w: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pricing pressures;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trade or other policy changes between the U.S. and other countries, trade regulation, and/or industry activity that favors domestic companies, including antidumping and countervailing duty petitions on certain products imported from foreign countries, including certain engines imported into the U.S. from China;</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rate fluctuations;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agreements and collecting receivables through certain foreign legal systems;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higher tax rates and adverse tax consequences, including restrictions on repatriating cash and/or earnings to the U.S.;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performance based on our geographic mix of sales;</w:t>
      </w:r>
    </w:p>
    <w:p>
      <w:pPr>
        <w:spacing w:after="0" w:line="9"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w:t>
      </w:r>
    </w:p>
    <w:p>
      <w:pPr>
        <w:ind w:left="340" w:hanging="332"/>
        <w:spacing w:after="0" w:line="24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conflicts, political instability or tensions (such as the current geopolitical tensions involving China and Taiwan, the ongoing war between Russia and Ukraine, and Middle East conflicts and wars), foreign policy changes, acts of war or terrorist acts;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enforcing or defending intellectual property rights;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changing, and often inconsistent enforcement of laws, rules, regulations and standards, including rules relating to taxes, environmental, health and safety matters.</w:t>
      </w:r>
    </w:p>
    <w:p>
      <w:pPr>
        <w:spacing w:after="0" w:line="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international operations may not produce desired levels of net sales or, among other things, the factors listed above may harm our business and operating results. Any material decrease in our international sales or profitability could also adversely impact our operating results.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renovating and expanding certain office, manufacturing, and other facilities and could experience disruptions to our operations in connection with such efforts.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continually renovating and, where appropriate or necessary, expanding our facilities, primarily driven by the growth of our business and the need to expand our manufacturing capacity. We have historically financed, and expect to continue to finance, such efforts with cash on hand and cash from operating activities. Expanding and renovating our facilities could disrupt our business operations, and such effects could include but are not limited to potential interruption in manufacturing processes, delivery of raw materials, shipping finished goods, and data flow; unforeseen construction, scheduling, engineering, environmental, or geological problems; and unanticipated cost increases.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announced and future tariffs and other trade restrictions could materially and adversely affect our business, financial condition and results of operations.</w:t>
      </w:r>
    </w:p>
    <w:p>
      <w:pPr>
        <w:spacing w:after="0" w:line="3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2025, the U.S. government announced a series of tariffs, including tariffs targeting a broad range of imports and targeted tariffs on goods from specific countries and industries. In response, many countries imposed reciprocal tariffs and other trade restrictions on the United States. Although many of these tariffs, countermeasures and other trade restrictions have since been eased or paused, their initial announcements triggered considerable volatility in global markets and heightened economic uncertainty, and the global trade situation, particularly between the United States and China, continues to be highly dynamic. These changes have, and similar changes in the future may continue to, increase the cost or reduce the availability of raw materials and supplies we need to operate, cause customers to advance, delay, reduce, or cancel orders, shift buying patterns, impact demand in our end markets, complicate demand forecasting for us and our customers, increase supply chain complexity and contribute to volatility, a broader economic slowdown or recession. Any of these impacts or changes could materially and adversely affect our business, financial condition and results of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to pursue acquisitions and alliances, strong customer relations, and new joint ventures, investments, and partnerships and our recent activities related to Tornado Infrastructure Equipment in this regard involve risk and may not prove to be successful.</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our strategies is to drive growth in our businesses and expand our global presence through targeted acquisitions and alliances, strong customer relations, and new joint ventures, investments, and partnerships that add value and complement our existing brands and product portfolio. For example, on December 8, 2025, we announced the close of our acquisition of Tornado Infrastructure Equipment.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realize any of the anticipated benefits from the acquisition of Tornado Infrastructure Equipment depends on us successfully integrating Tornado Infrastructure Equipment into our business. If we cannot successfully integrate or are delayed in integrating newly acquired businesses or fail to execute our business plan, it would negatively impact our ability to manufacture new products for and to grow our business, which would materially adversely affect our financial condition, results of operations or cash flows. Even if Tornado Infrastructure Equipment is successfully integrated, the benefits of such acquisition may not be realized within the anticipated time frame or at all.</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continued ability to grow through acquisitions will depend, in part, on the availability of suitable target candidates at acceptable prices, terms, and conditions; our ability to compete effectively for acquisition candidates; and the availability of capital and personnel resources to complete such acquisitions and operate and integrate the acquired business effectively. Any acquisition, alliance, joint venture, investment, or partnership could impair our business, financial condition, reputation, and operating results. For instance, the benefits of an acquisition, or new alliance, joint venture, investment, or partnership may take more time than expected to achieve, or may not develop at all. Acquisitions, alliances, joint ventures, investments,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partnerships may involve a number of risks, the occurrence of which could adversely affect our business, reputation, financial condition, and operating results, including:</w:t>
      </w:r>
    </w:p>
    <w:p>
      <w:pPr>
        <w:spacing w:after="0" w:line="54"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to manage and integrate the acquired business;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existing operations and plans;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manage our expanded operations;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delays, or unanticipated costs in integrating and assimilating information and financial systems, internal controls, operations, manufacturing processes and products or in realizing projected efficiencies, growth prospects, cost savings, and other synergies;</w:t>
      </w:r>
    </w:p>
    <w:p>
      <w:pPr>
        <w:spacing w:after="0" w:line="22" w:lineRule="exact"/>
        <w:rPr>
          <w:rFonts w:ascii="Times New Roman" w:cs="Times New Roman" w:eastAsia="Times New Roman" w:hAnsi="Times New Roman"/>
          <w:sz w:val="18"/>
          <w:szCs w:val="18"/>
          <w:color w:val="auto"/>
        </w:rPr>
      </w:pPr>
    </w:p>
    <w:p>
      <w:pPr>
        <w:ind w:left="340" w:hanging="332"/>
        <w:spacing w:after="0" w:line="234" w:lineRule="auto"/>
        <w:tabs>
          <w:tab w:leader="none" w:pos="33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challenges in harmonizing information technology systems, compliance frameworks, and corporate governance practices related to Tornado Infrastructure Equipment;</w:t>
      </w:r>
    </w:p>
    <w:p>
      <w:pPr>
        <w:spacing w:after="0" w:line="1" w:lineRule="exact"/>
        <w:rPr>
          <w:rFonts w:ascii="Arial" w:cs="Arial" w:eastAsia="Arial" w:hAnsi="Arial"/>
          <w:sz w:val="22"/>
          <w:szCs w:val="22"/>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integrate or develop a distribution channel for acquired product lines;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customers, distributors, or dealers of the acquired businesses or adverse effects on existing business relationships with suppliers, customers, distributors, and dealers;</w:t>
      </w:r>
    </w:p>
    <w:p>
      <w:pPr>
        <w:jc w:val="both"/>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 of significant amounts of goodwill, other indefinite-lived intangible assets, and/or long-lived assets because of deterioration in the performance of an acquired business or product line, adverse market conditions, changes in the competitive landscape, changes in laws or regulations that restrict activities of an acquired business or product line, or other circumstances;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challenges in transitioning distributors and dealers of acquired businesses to available floor plan financing arrangements;</w:t>
      </w:r>
    </w:p>
    <w:p>
      <w:pPr>
        <w:spacing w:after="0" w:line="1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delays in integration related to Tornado Infrastructure Equipment;</w:t>
      </w:r>
    </w:p>
    <w:p>
      <w:pPr>
        <w:spacing w:after="0" w:line="14" w:lineRule="exact"/>
        <w:rPr>
          <w:rFonts w:ascii="Arial" w:cs="Arial" w:eastAsia="Arial" w:hAnsi="Arial"/>
          <w:sz w:val="22"/>
          <w:szCs w:val="22"/>
          <w:color w:val="auto"/>
        </w:rPr>
      </w:pPr>
    </w:p>
    <w:p>
      <w:pPr>
        <w:ind w:left="320" w:hanging="312"/>
        <w:spacing w:after="0" w:line="230" w:lineRule="auto"/>
        <w:tabs>
          <w:tab w:leader="none" w:pos="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new regulators of businesses that we have acquired or may acquire in the future;</w:t>
      </w:r>
    </w:p>
    <w:p>
      <w:pPr>
        <w:spacing w:after="0" w:line="12" w:lineRule="exact"/>
        <w:rPr>
          <w:rFonts w:ascii="Times New Roman" w:cs="Times New Roman" w:eastAsia="Times New Roman" w:hAnsi="Times New Roman"/>
          <w:sz w:val="22"/>
          <w:szCs w:val="22"/>
          <w:color w:val="auto"/>
        </w:rPr>
      </w:pPr>
    </w:p>
    <w:p>
      <w:pPr>
        <w:ind w:left="340" w:hanging="332"/>
        <w:spacing w:after="0" w:line="25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confidentiality, intellectual property, and non-compete obligations or agreements by employees of an acquired business or lack of or inadequate formal intellectual property protection mechanisms in place at an acquired business;</w:t>
      </w:r>
    </w:p>
    <w:p>
      <w:pPr>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our expanded operations do not achieve, or are delayed in achieving, the growth prospects, net sales, net earnings, cost and/or revenue synergies, or other financial results projected in our valuation models;</w:t>
      </w:r>
    </w:p>
    <w:p>
      <w:pPr>
        <w:jc w:val="both"/>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our leverage and debt service requirements to pay acquisition purchase prices or other business venture investment costs, which could restrict our ability to access additional capital when needed, result in a decrease in our credit rating, or limit our ability to pursue other important elements of our business strategy;</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acquired businesses or other business ventures to comply with applicable international, federal, and state product safety or other regulatory standards;</w:t>
      </w: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by acquired businesses or other business ventures of valid intellectual property rights of others;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additional post-acquisition or business venture investments, undisclosed, contingent or other liabilities or problems, unanticipated costs associated with an acquisition or other business venture, and despite the existence of representations, warranties and indemnities in any definitive agreement and/or a representation and warranty insurance policy, if applicable, an inability to recover or manage such liabilities and costs;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as a result of purchase accounting adjustments, incorrect estimates made in the accounting for acquisitions, occurrence of non-recurring charges, or other potential financial accounting or reporting impacts.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cause our strategic transactions, including the Tornado Infrastructure Equipment acquisition, not to be as profitable or accretive as expected or planned.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during the third quarter of fiscal 2025, we recorded a non-cash impairment charge of $81.1 million related to the indefinite-lived Spartan trade name intangible asset. This impairment charge resulted in a $19.7 million income tax benefit (deferred tax asset) associated with the remaining tax deductible basis in intangible assets.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need effective internal controls to provide reliable and accurate financial reports and to effectively prevent fraud. Integrating acquired businesses may make our systems and controls more complex and difficult to manage. We devote significant resources and time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 particularly in the context of acquisitions of other businesses, regardless of whether such acquired business was previously privately or publicly held. Any difficulties in the assimilation of acquired businesses into our internal control framework could harm our operating results or cause us to fail to meet our financial reporting obligations.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some acquisitions may require the consent of the lenders under our credit agreements. We cannot predict whether such approvals would be forthcoming or the terms on which the lenders would approve such acquisitions. These risks, among others,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be heightened if we complete a large acquisition or other business venture or multiple transactions within a relatively short period of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successfully complete divestitures or other restructuring activities could negatively affect our operations.</w:t>
      </w:r>
    </w:p>
    <w:p>
      <w:pPr>
        <w:spacing w:after="0" w:line="12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From time to time, we may divest of all or a portion of certain businesses and/or facilities, joint venture or minority equity investment interests, subsidiaries, distributorships, or product categories. Divestitures involve risk, including, potential increased expense associated with the divestitures, and potential issues with the acquirers, customers or suppliers of the divested business, or products. Occasionally, we may wind down certain business activities and/or facilities, product lines, and/or perform other organizational restructuring projects in an effort to reduce costs and streamline operations. Such activities involve risks as they may divert management's attention from our core businesses, increase expenses on a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basis and lead to potential issues with employees, customers, or suppliers. If we do not complete these activities in a timely manner, or do not realize anticipated cost savings, synergies and efficiencies, business disruption occurs during or following such activities, or we incur unanticipated charges, this may negatively impact our business, financial condition, operating results, and cash flows.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scrutiny regarding our sustainability practices could impact our reputation.</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Increasing governmental and societal attention to sustainability matters, including expanding mandatory and voluntary reporting, and disclosure topics such as climate change, sustainability, natural resources, waste reduction, energy, human capital, and risk oversight could expand the nature, scope, and complexity of matters that we are required to control, assess, and report. We strive to deliver shared value through our business and our diverse stakeholders expect us to make progress in certain sustainability priority issue areas. To address this growing set of matters, we continue to devote dedicated employee resources while utilizing a cross-functional/business sustainability leadership team to further develop and implement an enterprise-wide sustainability strategy. Each year, we release our sustainability report, which highlights certain aspirations and goals related to sustainability matters, such as goals to increase battery and hybrid product sales and plans to reduce certain GHG emissions over time. No assurance can be provided that we will achieve our sustainability goals. It is possible that we may be unsuccessful in the achievement of our sustainability goals, on a timely basis or at all, or that the costs to achieve those goals become prohibitively expensive. Furthermore, our stakeholders may not be satisfied with our initiatives or efforts or the speed at which we are progressing towards any such aspirations and goals. Additionally, organizations that inform investors on sustainability matters have developed rating systems for evaluating companies on their approach to sustainability. Unfavorable ratings may lead to negative investor sentiment, which could negatively impact our stock price. Any failure, or perceived failure, to respond to sustainability concerns could harm our business and reputation. Certain challenges we face in the achievement of our sustainability objectives are also captured within our sustainability reporting in our most recent sustainability report, which is not incorporated by reference into and does not form any part of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incur impairment and other charges resulting from the impairment of goodwill or tangible or intangible assets recorded in connection with acquisitions or due to exit or disposal activities.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acquisitions and other business combinations, applicable accounting standards require the net tangible and intangible assets of the acquired business to be recorded on our consolidated balance sheet at their fair values as of the date of acquisition and any excess in the purchase price paid by us over the fair value of net tangible and intangible assets of any acquired business to be recorded as goodwill. Goodwill and indefinite-lived intangible assets are not amortized, but are tested at least annually for impairment or more frequently as events and circumstances dictate. Goodwill is tested for impairment at the reporting unit level, which is generally an operating segment or underlying business component. Indefinite-lived intangible assets are tested for impairment at the individual indefinite-lived intangible asset level. Finite-lived intangible assets other than goodwill considered long-lived assets for impairment testing purposes, are tested for impairment as events and circumstances dictate, and are required to be amortized over their estimated useful lives and this amortization expense may be significant to our ongoing financial results.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determine that the anticipated future cash flows from our reporting units, indefinite-lived intangible assets, or long-lived asset groups may be less than their respective carrying values, our goodwill, indefinite-lived intangible assets, and/or long-lived assets may be deemed to be impaired. If this occurs, applicable accounting rules may require us to write-down the value of the goodwill, indefinite-lived intangible assets, and/or long-lived assets on our balance sheet to reflect the extent of any such impairment. Any such write-down of goodwill, indefinite-lived intangible assets, and/or long-lived assets would generally be recognized as a non-cash expense in our Consolidated Statements of Earnings for the accounting period during which any such write-down occurs.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during the third quarter of fiscal 2025, we recorded a non-cash impairment charge of $81.1 million related to the indefinite-lived Spartan trade name intangible asset. This impairment charge resulted in a $19.7 million income tax benefit (deferred tax asset) associated with the remaining tax deductible basis in other intangible assets. As of October 31, 2025, we had goodwill of $450.9 million, which is maintained in various reporting units, and indefinite-lived intangible assets of $190.6 million, which together comprise 18.7 percent of our total assets as of October 31, 2025. For additional information regarding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impairment charge, refer to Note 5,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in our Notes to Consolidated Financial Statements included in Part II, Item 8 of this Annual Report on Form 10-K. Any future impairment charges could be significant and could adversely affect our future consolidated operating results and financial condition.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Exit or disposal activities include but are not limited to restructuring, such as the sale or termination of a line of business or product, the exit of business activities in a particular location, the termination of employees under a plan of termination, the relocation of business activities from one location to another, changes in management or business structure, and or fundamental reorganization that affects the nature and focus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have adversely affected and could continue to adversely affect our operating results.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functional currency of most of our foreign operations is the applicable local currency, but our financial reporting currency is the U.S. dollar, we are required to translate the assets, liabilities, expenses, and revenues of our foreign operations into U.S. dollars at the applicable exchange rate in preparing our Consolidated Financial Statements. Accordingly, we face foreign currency exchange rate risk arising from transactions in the normal course of business, such as sales and loans to wholly owned subsidiaries, sales to third-party customers, purchases from suppliers, and bank lines of credit with creditors denominated in foreign currencies.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Foreign currency exchange rates have affected our net sales, net earnings, and operating results in the past and could affect them in the future, in some cases materially. Currency exchange rate fluctuations may also affect the comparative prices between products we sell and products our foreign competitors sell in the same market, which may decrease demand for our products. Substantial exchange rate fluctuations as a result of the strengthening of the U.S. dollar or otherwise, may have an adverse effect on our operating results, financial condition, and cash flows, as well as the comparability of our Consolidated Financial Statements between reporting periods. While we actively manage our foreign currency market risk in the normal course of business by entering into various derivative instruments to hedge against such risk, these derivative instruments involve risks and may not effectively limit our underlying exposure to foreign currency exchange rate fluctuations or minimize our net earnings and cash volatility associated with foreign currency exchange rate changes. Further, the failure of one or more counterparties to our foreign currency exchange rate contracts to fulfill their obligations to us could adversely affect our operating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financial and operating restrictions and counterparty risk as a result of our credit arrangements.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credit arrangements, including our revolving credit facility, term loan and senior notes, and the indentures governing our senior notes and debentures, include a number of financial and operating restrictions. For example, our credit arrangements contain financial covenants that, among other things, require us to maintain a maximum leverage ratio. Our credit arrangements and/or indentures also contain provisions that restrict our ability, subject to specified exceptions, to, among other things, create liens or other encumbrances on our assets; dispose of assets; engage in mergers or consolidations; and pay dividends that are significantly higher than those currently being paid, make other distributions to our shareholders, or redeem shares of our common stock. These provisions may limit our ability to conduct our business, take advantage of business opportunities, and respond to changing business, market, and economic conditions. They may also competitively disadvantage us relative to other companies that may be subject to fewer, if any, restrictions or may otherwise adversely affect our business.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important opportunities or transactions, such as significant acquisitions, may require the consent of our lenders, which consent may be withheld or granted subject to conditions that may affect the attractiveness or viability of the transaction. Additionally, market deterioration or other factors could jeopardize the counterparty obligations of one or more of the banks participating in our revolving credit facility, which could have an adverse effect on our business if we are not able to replace such revolving credit facility or find other sources of liquidity on acceptable terms.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the terms of our credit arrangements and indentures, they could be terminated and amounts thereunder could become due and payable.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that we will be able to comply with all of the terms of our credit arrangements and indentures, particularly the financial covenants. Our ability to comply with such terms depends on the success of our business and our operating results, as well as various risks, uncertainties, and events beyond our control. If we fail to comply with any covenant required by our credit arrangements following any applicable cure periods, the banks could terminate their commitments unless we could negotiate a covenant waiver. The banks could condition such waiver on terms that may be unfavorable to us. In addition, any amounts outstanding pursuant to our credit arrangements and indentures could become due and payable if we were unable to obtain a covenant waiver or refinance our debt under such arrangements.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downgrade in our credit ratings could increase our cost of funding and/or adversely affect our access to funding.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credit ratings are important to our cost and availability of capital. The major rating agencies routinely evaluate our credit profile and assign credit ratings to us. This evaluation is based on a number of factors, which include financial strength,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business and financial risk, transparency with rating agencies, and timeliness of financial reporting. Further leveraging our capital structure could result in a downgrade to our credit ratings. For instance, if our credit rating falls below investment grade and/or our leverage ratio rises above 1.50, the interest rate we currently pay on outstanding debt under our revolving credit facility could increase. As such, failure to maintain investment grade credit ratings could adversely affect our cost of funding and our liquidity by limiting the access to capital markets or the availability of funding from a variety of lenders.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or tax standards and policies and/or assumptions utilized in determining accounting or tax estimates could adversely affect our results of operations and financial condition.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generally accepted accounting principles ("GAAP"), we must make decisions that impact our results of operations and/or financial condition, including selecting the appropriate accounting and/or tax principles to be applied and the assumptions on which to base accounting and tax estimates. In reaching such decisions, we apply judgments based on our understanding and analysis of the relevant circumstances, historical experience, and actuarial and other independent external third-party specialist valuations, all as appropriate. As a result, actual amounts could differ from those estimated at the time the Consolidated Financial Statements are prepared.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various authoritative accounting or regulatory entities, including the Financial Accounting Standards Board, Public Company Accounting Oversight Board, and the SEC may amend, expand, and/or eliminate the financial accounting or reporting standards or tax positions that govern the preparation of our Consolidated Financial Statements or could reverse their previous interpretations or positions on how various financial accounting and/or reporting standards or tax positions should be applied. We disclose the impact of accounting pronouncements that have been issued but not yet adopted within our annual and quarterly reports on Form 10-K and Form 10-Q, respectively. However, we do not provide an assessment of proposed accounting pronouncements, as such proposals are subject to change through the exposure process and therefore, we cannot meaningfully assess their effects on our Consolidated Financial Statements. Future changes to accounting or tax standards could modify the accounting or tax policies and procedures that we currently use to prepare our Consolidated Financial Statements. Such changes may be difficult to predict and implement and could impact how we prepare and report our Consolidated Financial Statements, results of operations, and financial condition.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additional information regarding our accounting policies and new accounting pronouncements, refer to Part II, Item 7, "Management's Discussion and Analysis of Financial Condition and Results of Operations," in the section entitled "Critical Accounting Policies and Estimates" and Note 1,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and Related Data, </w:t>
      </w:r>
      <w:r>
        <w:rPr>
          <w:rFonts w:ascii="Times New Roman" w:cs="Times New Roman" w:eastAsia="Times New Roman" w:hAnsi="Times New Roman"/>
          <w:sz w:val="18"/>
          <w:szCs w:val="18"/>
          <w:color w:val="auto"/>
        </w:rPr>
        <w:t>of the Notes to Consolidated Financial Statements included in Part II, Item 8,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Supplementary Data,” of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patents, trademarks, and contractual provisions may be insufficient to protect our proprietary rights and intellectual property from others who may sell similar products and our products may infringe the valid proprietary rights of others.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hold patents and trademarks relating to various aspects of our products and business and believe that proprietary technical know-how is important to our business. The loss of such intellectual property could have a material adverse effect on our business and operating results.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Without enforceable patent protection, we may be vulnerable to competitors who attempt to copy our products or gain access to our trade secrets and know-how. We also cannot be certain that our products or technologies have not infringed or will not infringe the valid proprietary rights of others. Others may initiate litigation to challenge the validity of our patents, allege that we infringe their patents, or use their resources to design comparable products that do not infringe our patents. Additionally, we may initiate proceedings to protect our proprietary rights. Any litigation, whether initiated by us or others, may cause us to incur substantial costs and possible damages. If the outcome of any such litigation is unfavorable to us, our business, operating results, and financial condition could be adversely affected. We could also be forced to develop an alternative that could be costly and time-consuming, or acquire a license, which we might not be able to do on terms favorable to us, or at all.</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trade secrets and proprietary know-how that we seek to protect, in part, by confidentiality agreements with our employees, suppliers, consultants, and others. These agreements may be breached, and we may not have adequate remedies for any such breach. Even if these confidentiality agreements are not breached, our trade secrets may otherwise become known or be independently developed by competitors.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laws, rules, policies, and regulations, with which our compliance is costly and not guaranteed.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numerous international, federal, state, municipal and other governmental laws, rules, policies, regulations, and orders ("Laws") relating to, among other things; climate change; emissions to air, including engine emission requirements;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extended producer responsibility; outdoor noise laws; the generation, use, handling, labeling, collection, management, storage, transportation, treatment, and disposal of hazardous substances, wastes, and other regulated materials; and the registration of certain technologies with various government agencies throughout the world and operation of those technologies within the limits imposed by those agencies, including but not limited to cybersecurity, radio frequency, broadband or other wireless technologies and technologies within the airspace of commercial airplanes, such as unmanned aerial systems. In addition, Laws may adversely affect our operating results, including, (i) to address health and safety requirements, (ii) taxation and tax policy changes, tax rate changes, new tax laws, or revised tax law interpretations or guidance, which individually or in combination may cause our effective tax rate to increase or result in tax charges, (iii) changes to, or adoption of new, healthcare laws or regulations, or</w:t>
      </w:r>
    </w:p>
    <w:p>
      <w:pPr>
        <w:spacing w:after="0" w:line="6" w:lineRule="exact"/>
        <w:rPr>
          <w:sz w:val="20"/>
          <w:szCs w:val="20"/>
          <w:color w:val="auto"/>
        </w:rPr>
      </w:pPr>
    </w:p>
    <w:p>
      <w:pPr>
        <w:jc w:val="both"/>
        <w:ind w:right="20" w:firstLine="8"/>
        <w:spacing w:after="0" w:line="255" w:lineRule="auto"/>
        <w:tabs>
          <w:tab w:leader="none" w:pos="3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U.S. or international trade policies or agreements, or trade regulation and/or industry activity, including antidumping and countervailing duty petitions on certain products imported from foreign countries, including certain engines imported in the U.S. from China, that could result in additional tariffs, duties or other charges on commodities, components, parts or accessories that we import and/or use in our products.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believe that we are in substantial compliance with currently applicable Laws, we are unable to predict the ultimate impact of adopted or future Laws on our company, business, properties, or products. Any of these Laws may cause us to incur significant expenses to achieve or maintain compliance, require us to modify our products, adversely affect the price of, or demand for, some of our products or manufacturing processes, and ultimately affect the way we conduct our operations. Failure to comply with any of these Laws could harm our reputation and/or lead to fines and other penalties, including restrictions on the importation of our products into, and the sale of our products in, one or more jurisdictions. In addition, our competitors may adopt strategies with respect to compliance with any such Laws that differ significantly from ours. This may change customer preferences and our markets in unanticipated ways which may adversely affect market demand for our products and our net sales and financial results. Other Laws impacting our supply chain, such as the United Kingdom Modern Slavery Act (and equivalent laws in California, Australia, and Canada) or data privacy requirements, such as the EU's General Data Protection Regulation, the California Consumer Privacy Act, and other emerging domestic and global data privacy and cybersecurity laws, may have similar consequences.</w:t>
      </w:r>
    </w:p>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legislation, regulations, accords, mitigation efforts, or other legislation may adversely impact our operations and could impact the competitive landscape within our markets and affect demand for our products.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subject to rules limiting exhaust and evaporative emissions and other climate-related rules and regulations in certain jurisdictions where we operate. Concern over climate change has resulted in, and could continue to result in, new legal or regulatory requirements designed to reduce or mitigate the effects of greenhouse gases. An example of such legislation is California's AB 1346, requires that most new sales of small off-road engines, such as those installed in certain of our products, including leaf blowers and lawnmowers, sold in the state of California on or after January 1, 2024, must be zero-emission. We may become subject to additional legislation, regulations, or accords regarding climate change, and compliance with any new rules could be difficult and costly as a result of increased energy, environmental, and other costs and capital expenditures to comply with any such legislation, regulation, or accord or could otherwise decrease demand for our products.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uncertainty in the regulatory and legislative processes and the negotiation and adoption of international climate change accords, as well as the scope of such requirements and initiatives, we cannot currently determine the effect any such legislation, regulation, or accord may have on our products and operations. Additionally, inconsistency of regulations in the states and countries in which we operate may affect the costs of compliance with such requirements. If such laws or regulations are more stringent than current legal or regulatory requirements, we may be subject to curtailment or reduced access to resources or experience increased compliance burdens and costs to meet the regulatory obligations, which may adversely affect our business and operating results.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various other legislative proposals, if enacted, could put us in a competitively advantaged or disadvantaged position and affect customer demand for our products. For example, any fiscal-stimulus or other legislation that inordinately impacts the lawn and garden, outdoor power equipment, or irrigation industries generally by promoting the purchase of certain types of products that we sell, such as through customer rebate or other incentive programs, could impact us positively or negatively, depending on whether we manufacture products that meet the specified legislative criteria, including in areas such as fuel efficiency, alternative energy or water usage. Such legislation may also cause customers to perceive our product offerings to be more or less attractive than our competitors' product offerings. We cannot currently predict whether any such legislation will be enacted, the specific terms and conditions of such legislation, such legislation's impact on the competitive landscape within our markets, or how, if at all, any such legislation might ultimately affect customer demand for our products or our operating results.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compliance with applicable environmental laws is costly and not guaranteed.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could also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condition or operating results, our future costs of complying with the various environmental requirements, as they now exist or may be altered in the future, could adversely affect our financial condition and operating results.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product quality issues, product liability claims, and other litigation from time to time that could adversely affect our business, reputation, operating results, or financial condition.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manufacture, sale, and use of our products expose us to significant risks associated with product quality issues and product liability claims and other litigation from time to time. If a product liability claim, other claim or series of claims is brought against us for liabilities exceeding our insurance coverage, and it is ultimately determined that we are liable, our business could suffer. While we believe that we appropriately instruct and warn our customers on the proper usage of our products, we cannot ensure that they will implement our instructions accurately or completely. If our products are defective or used incorrectly by our customers, injury may result and this could give rise to product quality issues and/or product liability claims against us, which could result in losses or damages or adversely affect our brand reputation and the marketability of our products, which may negatively impact our business and operating results.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 defects can occur through our own product development, design, and manufacturing processes or through our reliance on third-parties for certain component design and manufacturing activities. Some of our products or product improvements were developed or modified relatively recently and defects or risks that we have not yet identified, such as quality issues or unanticipated use of our products, may give rise to warranty or other quality claims and/or product liability claims. Additionally, we could experience a material design, testing, or manufacturing failure in our products, a quality system failure, failures in our products and other challenges that are associated with our inability to properly manage changes in the suppliers and components that we use in our products, insufficient testing procedures, other safety issues, or heightened regulatory scrutiny that could warrant a recall of some of our products. A recall of some of our products could also result in increased product liability claims. Unforeseen product quality and/or product liability problems in the development and production of new and existing products could also result in loss of market share, decreased demand, reduced sales, rework costs, and higher warranty expense.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subject to other litigation from time to time that could adversely affect our business, reputation, operating results or financial condition.</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many different jurisdictions and we could be adversely affected by violations of the U.S. Foreign Corrupt Practices Act ("FCPA") and similar worldwide anti-corruption laws.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FCPA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Significant violations of these laws, or allegations of such violations, could harm our reputation, disrupt our business, and result in significant fines and penalties that could have a material adverse effect on our operating results or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our financial projections, sustainability goals, or other business and productivity initiatives, which could have an adverse effect on our business, operating results, and financial condition.</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generally provide financial projections such as our expected revenue growth and adjusted diluted earnings per share. These financial projections are based on management’s assumptions and expectations at the time made. Failure to achieve our financial projections could have an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set certain aspirations and goals related to sustainability matters, such as goals to increase battery and hybrid product sales, plans to reduce certain GHG emissions over time, and goals to increase the number of women and racial and ethnic minorities in leadership positions. We also set goals and objectives for the timing of certain accomplishments, initiatives and milestones regarding our business or operating results, including without limitation our "Amplifying Maximum Productivity" or AMP initiative, which is a multi-year productivity initiative intended to result in annualized cost savings of more than $125 million by fiscal 2027, driven by sustainable supply-base, design-to-value, route-to-market, and operational efficiency transformation. Whether we achieve our goals and objectives of such initiatives can vary due to several factors, including the risk factors described in this Annual Report on Form 10-K. It is possible that we may be unsuccessful in the achievement of our goals, on a timely basis or at all. A delay, failure or perceived failure or delay to achieve such goals and objectives in the time periods that we anticipate, or at all, could have an adverse effect on our business, operating results and financial condition, and the public perception of our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our ability to attract and retain key executive and employees and successfully implement key employee transitions.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meet our strategic objectives and otherwise profitably grow our business will depend to a significant extent on the continued contributions of our leadership team and our ability to identify, attract, engage, develop, and retain other highly qualified employees worldwide. Competition for these individuals is intense, and we may not succeed in identifying, attracting, or retaining qualified employees. Our executive management team and board of directors have undergone significant changes during the past three years. Losing executive officers or other key employees, failure to identify, attract, or retain qualified leaders in the future, ineffective executive officer or other employee transitions, delays or the inability to hire necessary and qualified office or production employees due to employment conditions or otherwise, or any employee work slowdowns, strikes, or similar actions could make it difficult for us to conduct and manage our business and meet key objectives, which could harm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To protect the confidentiality, integrity, and availability of our critical systems and information, our enterprise risk management framework considers cybersecurity risk alongside other company risks, as part of our overall risk assessment process. Cybersecurity risks are reviewed at least quarterly by the Enterprise Risk Management and Compliance team and escalated to senior management as appropriate. We leverage an industry leading framework, the National Institute of Standards and Technology Cybersecurity Framework, which organizes cybersecurity risks into five categories: identify, protect, detect, respond and recover. We assess our maturity against that framework in partnership with an independent firm on at least an annual basis.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and manage our cybersecurity risk using various mechanisms, starting with threat intelligence, which provides us a necessary viewpoint to help us identify trends, understand how certain attacks may affect us, and prepare for evolutions in threat actor behavior that may require changes to our security posture. We monitor emerging trends and regulations related to information security, and implement appropriate changes, as needed, to our cybersecurity risk management program.</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drive readiness, we perform periodic adversarial testing of our cybersecurity posture through penetration testing, using both internal resources and external expertise, as well as table-top and “red team” exercises to understand where processes or controls may be insufficient based on adversarial techniques. We have also implemented technical security controls, maintenance of certain backup and protective systems, physical and system securities measures, and data security protocols.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established information security policies and processes; deploy regular network and endpoint software updates on all company-managed systems and workstations to detect and prevent, among others, viruses, malicious code, unauthorized access, and phishing attempts; maintain a disaster recovery plan, and perform at least two disaster recovery exercises annually to validate and optimize our recovery efforts in event of a cybersecurity incident; and regularly engage third-party cybersecurity experts to conduct vulnerability assessments and penetration testing on our information networks, systems, and applications.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internal audit team performs regular assessments of our program and selected components. We also leverage retrospectives from previous cybersecurity incidents to understand weaknesses and to improve our security controls. We assess our critical suppliers regularly for cybersecurity risk and prescribe remediation activities when necessary. As a part of a collaborative defense approach, we regularly participate in multiple cybersecurity forums to share threat intelligence, best practices, and points of caution.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train our employees through annual security training, phishing simulations, and regular communications about timely cybersecurity topics and threats. We have a documented and well-tested cybersecurity incident response plan that guides us in responding, containing, and eradicating cybersecurity threats that have breached our preventative controls. Examples of relevant processes include steps for: assessing the severity of a cybersecurity threat; identifying the source of a cybersecurity threat, including whether the cybersecurity threat is associated with a third-party service provider; implementing cybersecurity countermeasures and mitigation strategies; and remediating and escalating cybersecurity incidents using cross-functional expertise. Our cybersecurity risk management program also includes risk-based processes related to overseeing and identifying cybersecurity risks associated with the use of third-party providers, including processes related to: conducting cybersecurity assessments of third-party service providers, including cybersecurity obligations in contract with third-party service providers; and receiving and responding to notification of cybersecurity incidents of third-party service providers. We regularly practice technical recovery.</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Cybersecurity risks related to third-party IT providers and solutions are managed as part of our vendor security protocol that includes vendors, software, and cloud-based service providers. We partner with our vendors to minimize the customer data needed to provide services and ensure compliance with regulations. Vendors are reviewed annually to identify any changes to services, data requirements, and associated security and protections. Where applicable, vendors are contractually bound to protect customer data and support enforcement of all regulatory requirements. We proactively evaluate the cybersecurity risk of third-party IT providers and solutions by utilizing a repository of risk assessments and an external monitoring solution that includes threat intelligence to better inform us during contracting and vendor selection processes. When third-party risks are identified, we require those third-parties to agree by contract to implement appropriate security controls or refrain from doing business with them. Security issues are documented, tracked, and periodic monitoring is conducted for third-parties in order to mitigate risk.</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also contractually requires suppliers, vendors and other third-parties with access to its information technology systems, sensitive business data or personal information to implement and maintain appropriate security controls and contractually restricts their ability to use the Company’s data, including personal information, for purposes other than to provide services to the Company, except as required by law.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program is led by the Senior Manager of our Enterprise IT Security Risk and Compliance team, who reports to the Managing Director of Enterprise IT. The Senior Manager has over 30 years of IT experience, with over 20 years specializing in cybersecurity. He has strategic and operational responsibility for all aspects of the company’s cybersecurity program, including how cyber risks are identified and assessed and how the company prepares for, detects, responds, and recovers from cyber threats. Quarterly cybersecurity program updates and as-needed reporting on cybersecurity incidents are provided to the Chief Executive Officer, Chief Operating Officer, Chief Financial Officer, and General Counsel.</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provides oversight for our cybersecurity program. The Audit Committee receives regular updates from management on the effectiveness of our cybersecurity program, reviews plans on how management will continually advance the program, and receives updates on special topics that help the committee provide effective oversight of the program.</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our best efforts, we cannot guarantee that our security measures will prevent all potential cybersecurity incidents or breaches. Like most companies, our systems are continually subjected to sophisticated and evolving cybersecurity threats, such as phishing, ransomware, social engineering, and advanced persistent threats. However, to date, we have not been subject to any incidents or successful cyber-attacks that materially impacted our operations or financial condition. Vulnerabilities could lead to significant additional expenses and an adverse effect on our reputation, business, results of operations, financial condition and cash flows. The Company has invested in developing and acquiring cybersecurity capabilities allowing us to monitor threats and manage incident response. We have also developed internal policies to mitigate cybersecurity incidents, including providing clear guidelines for incident classification and response. We recognize the importance of continued monitoring and improvement of our cybersecurity program, and will continue to invest in our security controls, incident response capabilities, and third-party vendor management protocols. Additional information on cybersecurity risks we face is included in Part I, Item 1A, "Risk Factors," which should be read in conjunction with the information in this section.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global business operations require the use of various facilities and other properties for manufacturing, distribution, warehousing, engineering and product testing, sales and marketing, and other corporate activities. We generally consider our current facilities to be in good operating condition, suitable for their respective uses, and adequate for our current and future business needs as our business is presently conducted. However, as a matter of course, we review our facilities from time to time as we continue to optimize our global business operations and footprint and may determine that certain of our facilities should be expanded or exited, sold, or utilized in another manner.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facilities are listed below by location, ownership, and function as of October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44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Facility Type/Use</w:t>
            </w:r>
          </w:p>
        </w:tc>
        <w:tc>
          <w:tcPr>
            <w:tcW w:w="22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Ownership</w:t>
            </w:r>
          </w:p>
        </w:tc>
      </w:tr>
      <w:tr>
        <w:trPr>
          <w:trHeight w:val="20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28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Batesville, Arkansas</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warehouse</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El Cajon, California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Fresno, California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Warehouse</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Riverside, California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test site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Sanford, Florida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Ankeny, Iowa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Mount Sterling, Kentucky</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Iron Mountain, Michigan</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test site, and warehouse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Bloomington, Minnesota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activities</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headquarters, test site, and warehouse</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Brooklyn Center, Minnesota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activities</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Service center, distribution center, and office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Shakopee, Minnesota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Windom, Minnesota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Beatrice, Nebraska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test site</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Orrville, Ohio</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 Salem, Ohio</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Perry, Oklahoma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test site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El Paso, Texas</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and distribution center</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Weatherford, Texas</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Baraboo, Wisconsin</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Lake Mills, Wisconsin</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Plymouth, Wisconsin</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Tomah, Wisconsin</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and distribution center</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Countries:</w:t>
            </w:r>
          </w:p>
        </w:tc>
        <w:tc>
          <w:tcPr>
            <w:tcW w:w="22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Braeside, Australia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Office, distribution center, service center &amp; warehouse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Oevel, Belgium</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Xiamen City, China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Althengstett, Germany</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Fiano Romano, Italy</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Juarez, Mexico</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Monterrey, Mexico</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Ustron, Poland</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Ploiesti, Romania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and test site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196"/>
        </w:trPr>
        <w:tc>
          <w:tcPr>
            <w:tcW w:w="2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Hertfordshire, United Kingdom</w:t>
            </w:r>
          </w:p>
        </w:tc>
        <w:tc>
          <w:tcPr>
            <w:tcW w:w="2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test site</w:t>
            </w:r>
          </w:p>
        </w:tc>
        <w:tc>
          <w:tcPr>
            <w:tcW w:w="22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Owned</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disputes, and patent litigation cases. For a description of our material legal proceedings, refer to the heading titled "Litigation" within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 which is incorporated into this Item 3 by reference.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list below identifies those persons designated by our Board of Directors as executive officers of the company. The list sets forth each such person's age and position with the company as of December 10, 2025, as well as other positions held by the executive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such executive officer was selected as an officer of the company.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Name, Age, and Position</w:t>
            </w:r>
          </w:p>
        </w:tc>
        <w:tc>
          <w:tcPr>
            <w:tcW w:w="7760" w:type="dxa"/>
            <w:vAlign w:val="bottom"/>
            <w:tcBorders>
              <w:top w:val="single" w:sz="8" w:color="auto"/>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Business Experience During the Last Five or More Years</w:t>
            </w: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Richard M. Olson</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Chairman of the Board since November 2017 and Chief Executive Officer since November 2016. From September 2015 through</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61, Chairman of the Board and Chief Executive Officer</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October 2016, he served as President and Chief Operating Officer. From June 2014 through August 2015, he served as Group Vice</w:t>
            </w:r>
          </w:p>
        </w:tc>
      </w:tr>
      <w:tr>
        <w:trPr>
          <w:trHeight w:val="203"/>
        </w:trPr>
        <w:tc>
          <w:tcPr>
            <w:tcW w:w="3480" w:type="dxa"/>
            <w:vAlign w:val="bottom"/>
            <w:shd w:val="clear" w:color="auto" w:fill="CCEEFF"/>
          </w:tcPr>
          <w:p>
            <w:pPr>
              <w:spacing w:after="0"/>
              <w:rPr>
                <w:sz w:val="17"/>
                <w:szCs w:val="17"/>
                <w:color w:val="auto"/>
              </w:rPr>
            </w:pP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President, International Business, Global Ag-Irrigation Business and Distributor Development.</w:t>
            </w:r>
          </w:p>
        </w:tc>
      </w:tr>
      <w:tr>
        <w:trPr>
          <w:trHeight w:val="139"/>
        </w:trPr>
        <w:tc>
          <w:tcPr>
            <w:tcW w:w="3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Jason P. Baab</w:t>
            </w: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Vice President, Strategy, Corporate Development, and Sustainability since July 2023. Prior to joining the company, he held several</w:t>
            </w:r>
          </w:p>
        </w:tc>
      </w:tr>
      <w:tr>
        <w:trPr>
          <w:trHeight w:val="144"/>
        </w:trPr>
        <w:tc>
          <w:tcPr>
            <w:tcW w:w="3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50, Vice President, Strategy, Corporate Development, and</w:t>
            </w:r>
          </w:p>
        </w:tc>
        <w:tc>
          <w:tcPr>
            <w:tcW w:w="7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roles at Oshkosh Corporation, a global manufacturer of specialty vehicles and equipment, serving as Senior Vice President,</w:t>
            </w:r>
          </w:p>
        </w:tc>
      </w:tr>
      <w:tr>
        <w:trPr>
          <w:trHeight w:val="139"/>
        </w:trPr>
        <w:tc>
          <w:tcPr>
            <w:tcW w:w="3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Sustainability</w:t>
            </w: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Corporate Development, Strategy, and Venture Capital from October 2021 to June 2023 and Vice President from 2017 to September</w:t>
            </w:r>
          </w:p>
        </w:tc>
      </w:tr>
      <w:tr>
        <w:trPr>
          <w:trHeight w:val="188"/>
        </w:trPr>
        <w:tc>
          <w:tcPr>
            <w:tcW w:w="3480" w:type="dxa"/>
            <w:vAlign w:val="bottom"/>
          </w:tcPr>
          <w:p>
            <w:pPr>
              <w:spacing w:after="0"/>
              <w:rPr>
                <w:sz w:val="16"/>
                <w:szCs w:val="16"/>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348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Kevin N. Carpenter</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Vice President, Global Operations and Integrated Supply Chain since December 2021. Prior to joining the company, he held several</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51, Vice President, Global Operations and Integrated</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roles at Carrier Global Corporation, a global provider of healthy, safe, sustainable and intelligent building and cold chain solutions,</w:t>
            </w: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Supply Chain</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serving as Vice President of Operations, Residential and Light Commercial Systems from June 2021 to November 2021, Vice</w:t>
            </w:r>
          </w:p>
        </w:tc>
      </w:tr>
      <w:tr>
        <w:trPr>
          <w:trHeight w:val="148"/>
        </w:trPr>
        <w:tc>
          <w:tcPr>
            <w:tcW w:w="3480" w:type="dxa"/>
            <w:vAlign w:val="bottom"/>
            <w:shd w:val="clear" w:color="auto" w:fill="CCEEFF"/>
          </w:tcPr>
          <w:p>
            <w:pPr>
              <w:spacing w:after="0"/>
              <w:rPr>
                <w:sz w:val="12"/>
                <w:szCs w:val="12"/>
                <w:color w:val="auto"/>
              </w:rPr>
            </w:pPr>
          </w:p>
        </w:tc>
        <w:tc>
          <w:tcPr>
            <w:tcW w:w="77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President of Quality and Continuous Improvement from August 2020 to May 2021, Vice President of Operations, Commercial</w:t>
            </w:r>
          </w:p>
        </w:tc>
      </w:tr>
      <w:tr>
        <w:trPr>
          <w:trHeight w:val="198"/>
        </w:trPr>
        <w:tc>
          <w:tcPr>
            <w:tcW w:w="3480" w:type="dxa"/>
            <w:vAlign w:val="bottom"/>
            <w:shd w:val="clear" w:color="auto" w:fill="CCEEFF"/>
          </w:tcPr>
          <w:p>
            <w:pPr>
              <w:spacing w:after="0"/>
              <w:rPr>
                <w:sz w:val="17"/>
                <w:szCs w:val="17"/>
                <w:color w:val="auto"/>
              </w:rPr>
            </w:pP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HVAC from February 2020 to July 2020, and Vice President of Advanced Manufacturing from May 2019 to January 2020.</w:t>
            </w:r>
          </w:p>
        </w:tc>
      </w:tr>
      <w:tr>
        <w:trPr>
          <w:trHeight w:val="139"/>
        </w:trPr>
        <w:tc>
          <w:tcPr>
            <w:tcW w:w="3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Angela C. Drake</w:t>
            </w: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Vice President and Chief Financial Officer since March 2023. She previously served as Vice President, Finance from July 2022 to</w:t>
            </w:r>
          </w:p>
        </w:tc>
      </w:tr>
      <w:tr>
        <w:trPr>
          <w:trHeight w:val="144"/>
        </w:trPr>
        <w:tc>
          <w:tcPr>
            <w:tcW w:w="3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53, Vice President and Chief Financial Officer</w:t>
            </w:r>
          </w:p>
        </w:tc>
        <w:tc>
          <w:tcPr>
            <w:tcW w:w="7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February 2023. From April 2020 to June 2022, she served as Vice President, Construction and from April 2019 through March</w:t>
            </w:r>
          </w:p>
        </w:tc>
      </w:tr>
      <w:tr>
        <w:trPr>
          <w:trHeight w:val="139"/>
        </w:trPr>
        <w:tc>
          <w:tcPr>
            <w:tcW w:w="3480" w:type="dxa"/>
            <w:vAlign w:val="bottom"/>
          </w:tcPr>
          <w:p>
            <w:pPr>
              <w:spacing w:after="0"/>
              <w:rPr>
                <w:sz w:val="12"/>
                <w:szCs w:val="12"/>
                <w:color w:val="auto"/>
              </w:rPr>
            </w:pP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2020, she served as Senior Managing Director, Integration. From February 2011 through March 2019, she served as Chief Financial</w:t>
            </w:r>
          </w:p>
        </w:tc>
      </w:tr>
      <w:tr>
        <w:trPr>
          <w:trHeight w:val="188"/>
        </w:trPr>
        <w:tc>
          <w:tcPr>
            <w:tcW w:w="3480" w:type="dxa"/>
            <w:vAlign w:val="bottom"/>
          </w:tcPr>
          <w:p>
            <w:pPr>
              <w:spacing w:after="0"/>
              <w:rPr>
                <w:sz w:val="16"/>
                <w:szCs w:val="16"/>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Officer for The Charles Machine Works, Inc., an underground construction company acquired by the company in April 2019.</w:t>
            </w:r>
          </w:p>
        </w:tc>
      </w:tr>
      <w:tr>
        <w:trPr>
          <w:trHeight w:val="23"/>
        </w:trPr>
        <w:tc>
          <w:tcPr>
            <w:tcW w:w="348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Edric C. Funk</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President and Chief Operating Officer since September 2025. He previously served as Group Vice President, Golf, Grounds, and</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53, President and Chief Operating Officer</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Irrigation from November 2022 to September 2025. From November 2020 to November 2022, he served as General Manager,</w:t>
            </w:r>
          </w:p>
        </w:tc>
      </w:tr>
      <w:tr>
        <w:trPr>
          <w:trHeight w:val="139"/>
        </w:trPr>
        <w:tc>
          <w:tcPr>
            <w:tcW w:w="3480" w:type="dxa"/>
            <w:vAlign w:val="bottom"/>
            <w:shd w:val="clear" w:color="auto" w:fill="CCEEFF"/>
          </w:tcPr>
          <w:p>
            <w:pPr>
              <w:spacing w:after="0"/>
              <w:rPr>
                <w:sz w:val="12"/>
                <w:szCs w:val="12"/>
                <w:color w:val="auto"/>
              </w:rPr>
            </w:pP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Sitework Systems, and prior to that led the company’s Center for Technology, Research and Innovation from July 2017 to October</w:t>
            </w:r>
          </w:p>
        </w:tc>
      </w:tr>
      <w:tr>
        <w:trPr>
          <w:trHeight w:val="192"/>
        </w:trPr>
        <w:tc>
          <w:tcPr>
            <w:tcW w:w="3480" w:type="dxa"/>
            <w:vAlign w:val="bottom"/>
            <w:tcBorders>
              <w:bottom w:val="single" w:sz="8" w:color="CCEEFF"/>
            </w:tcBorders>
            <w:shd w:val="clear" w:color="auto" w:fill="CCEEFF"/>
          </w:tcPr>
          <w:p>
            <w:pPr>
              <w:spacing w:after="0"/>
              <w:rPr>
                <w:sz w:val="16"/>
                <w:szCs w:val="16"/>
                <w:color w:val="auto"/>
              </w:rPr>
            </w:pPr>
          </w:p>
        </w:tc>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2020.</w:t>
            </w:r>
          </w:p>
        </w:tc>
      </w:tr>
      <w:tr>
        <w:trPr>
          <w:trHeight w:val="139"/>
        </w:trPr>
        <w:tc>
          <w:tcPr>
            <w:tcW w:w="3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Gregory S. Janey</w:t>
            </w: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Group Vice President, Landscapes and Contractor since November 2022. He previously served as Vice President, Residential and</w:t>
            </w:r>
          </w:p>
        </w:tc>
      </w:tr>
      <w:tr>
        <w:trPr>
          <w:trHeight w:val="144"/>
        </w:trPr>
        <w:tc>
          <w:tcPr>
            <w:tcW w:w="3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47, Group Vice President, Landscapes and Contractor</w:t>
            </w:r>
          </w:p>
        </w:tc>
        <w:tc>
          <w:tcPr>
            <w:tcW w:w="7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Landscape Contractor Businesses from November 2019 to November 2022. From November 2017 to October 2019, he served as</w:t>
            </w:r>
          </w:p>
        </w:tc>
      </w:tr>
      <w:tr>
        <w:trPr>
          <w:trHeight w:val="195"/>
        </w:trPr>
        <w:tc>
          <w:tcPr>
            <w:tcW w:w="3480" w:type="dxa"/>
            <w:vAlign w:val="bottom"/>
          </w:tcPr>
          <w:p>
            <w:pPr>
              <w:spacing w:after="0"/>
              <w:rPr>
                <w:sz w:val="16"/>
                <w:szCs w:val="16"/>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Manager, Residential and Landscape Contractor Businesses.</w:t>
            </w:r>
          </w:p>
        </w:tc>
      </w:tr>
      <w:tr>
        <w:trPr>
          <w:trHeight w:val="146"/>
        </w:trPr>
        <w:tc>
          <w:tcPr>
            <w:tcW w:w="34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Peter D. Moeller</w:t>
            </w:r>
          </w:p>
        </w:tc>
        <w:tc>
          <w:tcPr>
            <w:tcW w:w="776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Group Vice President, Underground, Specialty Construction and International since October 2025. He previously served as Group</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48, Group Vice President, Underground and Specialty</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Vice President, Underground and Specialty Construction from March 2023 to September 2025. From November 2020 to February</w:t>
            </w: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Construction and International</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2023, he served as Vice President, International. From November 2019 to October 2020, he served as Vice President, Sitework</w:t>
            </w:r>
          </w:p>
        </w:tc>
      </w:tr>
      <w:tr>
        <w:trPr>
          <w:trHeight w:val="192"/>
        </w:trPr>
        <w:tc>
          <w:tcPr>
            <w:tcW w:w="3480" w:type="dxa"/>
            <w:vAlign w:val="bottom"/>
            <w:tcBorders>
              <w:bottom w:val="single" w:sz="8" w:color="CCEEFF"/>
            </w:tcBorders>
            <w:shd w:val="clear" w:color="auto" w:fill="CCEEFF"/>
          </w:tcPr>
          <w:p>
            <w:pPr>
              <w:spacing w:after="0"/>
              <w:rPr>
                <w:sz w:val="16"/>
                <w:szCs w:val="16"/>
                <w:color w:val="auto"/>
              </w:rPr>
            </w:pPr>
          </w:p>
        </w:tc>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Systems.</w:t>
            </w:r>
          </w:p>
        </w:tc>
      </w:tr>
      <w:tr>
        <w:trPr>
          <w:trHeight w:val="139"/>
        </w:trPr>
        <w:tc>
          <w:tcPr>
            <w:tcW w:w="3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Lori A. Riley</w:t>
            </w: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Vice President, Human Resources since April 2025. Prior to joining the company, she served as Chief People and Administrative</w:t>
            </w:r>
          </w:p>
        </w:tc>
      </w:tr>
      <w:tr>
        <w:trPr>
          <w:trHeight w:val="144"/>
        </w:trPr>
        <w:tc>
          <w:tcPr>
            <w:tcW w:w="3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60, Vice President, Human Resources</w:t>
            </w:r>
          </w:p>
        </w:tc>
        <w:tc>
          <w:tcPr>
            <w:tcW w:w="7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Officer at Northern Tool + Equipment, a manufacturer and retailer of light industrial equipment and DIY supplies, from August</w:t>
            </w:r>
          </w:p>
        </w:tc>
      </w:tr>
      <w:tr>
        <w:trPr>
          <w:trHeight w:val="139"/>
        </w:trPr>
        <w:tc>
          <w:tcPr>
            <w:tcW w:w="3480" w:type="dxa"/>
            <w:vAlign w:val="bottom"/>
          </w:tcPr>
          <w:p>
            <w:pPr>
              <w:spacing w:after="0"/>
              <w:rPr>
                <w:sz w:val="12"/>
                <w:szCs w:val="12"/>
                <w:color w:val="auto"/>
              </w:rPr>
            </w:pP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2024 to March 2025 and as Senior Vice President, People, Communications and Legal from December 2021 to September 2024.</w:t>
            </w:r>
          </w:p>
        </w:tc>
      </w:tr>
      <w:tr>
        <w:trPr>
          <w:trHeight w:val="148"/>
        </w:trPr>
        <w:tc>
          <w:tcPr>
            <w:tcW w:w="3480" w:type="dxa"/>
            <w:vAlign w:val="bottom"/>
          </w:tcPr>
          <w:p>
            <w:pPr>
              <w:spacing w:after="0"/>
              <w:rPr>
                <w:sz w:val="12"/>
                <w:szCs w:val="12"/>
                <w:color w:val="auto"/>
              </w:rPr>
            </w:pPr>
          </w:p>
        </w:tc>
        <w:tc>
          <w:tcPr>
            <w:tcW w:w="7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She served as Senior Vice President, Human Capital at Optum from May 2019 to December 2021 and Chief People Officer at Rally</w:t>
            </w:r>
          </w:p>
        </w:tc>
      </w:tr>
      <w:tr>
        <w:trPr>
          <w:trHeight w:val="193"/>
        </w:trPr>
        <w:tc>
          <w:tcPr>
            <w:tcW w:w="3480" w:type="dxa"/>
            <w:vAlign w:val="bottom"/>
          </w:tcPr>
          <w:p>
            <w:pPr>
              <w:spacing w:after="0"/>
              <w:rPr>
                <w:sz w:val="16"/>
                <w:szCs w:val="16"/>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Health from November 2019 to November 2021.</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Kurt D. Svendsen</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Vice President, Technology since March 2023. From November 2020 to February 2023, he served as Vice President, Strategy,</w:t>
            </w:r>
          </w:p>
        </w:tc>
      </w:tr>
      <w:tr>
        <w:trPr>
          <w:trHeight w:val="19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59, Vice President, Technology</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and Channel Development. From June 2013 to October 2020, he served as Vice President, Information Technology.</w:t>
            </w:r>
          </w:p>
        </w:tc>
      </w:tr>
      <w:tr>
        <w:trPr>
          <w:trHeight w:val="139"/>
        </w:trPr>
        <w:tc>
          <w:tcPr>
            <w:tcW w:w="3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Joanna M. Totsky</w:t>
            </w: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Vice President, General Counsel, and Corporate Secretary since June 2023. Prior to joining the company, she held several roles at</w:t>
            </w:r>
          </w:p>
        </w:tc>
      </w:tr>
      <w:tr>
        <w:trPr>
          <w:trHeight w:val="144"/>
        </w:trPr>
        <w:tc>
          <w:tcPr>
            <w:tcW w:w="3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57, Vice President, General Counsel, and Corporate</w:t>
            </w:r>
          </w:p>
        </w:tc>
        <w:tc>
          <w:tcPr>
            <w:tcW w:w="7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Cooper-Standard Holdings, a leading manufacturer of sealing, fuel and brake delivery, and fluid transfer systems, serving as Senior</w:t>
            </w:r>
          </w:p>
        </w:tc>
      </w:tr>
      <w:tr>
        <w:trPr>
          <w:trHeight w:val="139"/>
        </w:trPr>
        <w:tc>
          <w:tcPr>
            <w:tcW w:w="3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Secretary</w:t>
            </w: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Vice President, Chief Legal and Transformation Officer and Secretary from November 2022 to May 2023, and Senior Vice</w:t>
            </w:r>
          </w:p>
        </w:tc>
      </w:tr>
      <w:tr>
        <w:trPr>
          <w:trHeight w:val="188"/>
        </w:trPr>
        <w:tc>
          <w:tcPr>
            <w:tcW w:w="3480" w:type="dxa"/>
            <w:vAlign w:val="bottom"/>
          </w:tcPr>
          <w:p>
            <w:pPr>
              <w:spacing w:after="0"/>
              <w:rPr>
                <w:sz w:val="16"/>
                <w:szCs w:val="16"/>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President, Chief Legal and Compliance Officer and Secretary from July 2019 to October 2022.</w:t>
            </w:r>
          </w:p>
        </w:tc>
      </w:tr>
      <w:tr>
        <w:trPr>
          <w:trHeight w:val="23"/>
        </w:trPr>
        <w:tc>
          <w:tcPr>
            <w:tcW w:w="348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Grant M. Young</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Group Vice President, Golf, Grounds and Irrigation since September 2025. He previously served as Vice President, Commercial</w:t>
            </w:r>
          </w:p>
        </w:tc>
      </w:tr>
      <w:tr>
        <w:trPr>
          <w:trHeight w:val="19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56, Group Vice President, Golf, Grounds and Irrigation</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from November 2023 to September 2025. From April 2019 to October 2023, he served as General Manager, Commercial.</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Cash Dividends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is listed for trading on the New York Stock Exchange and trades under the symbol "TTC". As of October 31, 2025 and 2024, we had 175,000,000 shares of common stock, par value $1.00 per share, authorized, and 97,888,105 and 101,472,125 shares of common stock outstanding, respectively. In each quarter of fiscal 2025, our Board of Directors declared a common stock cash dividend of $0.38 per share, which was a 5.6 percent increase over our common stock cash dividend of $0.36 per share paid in each quarter of fiscal 2024. As announced on December 9, 2025, our Board of Directors increased our fiscal 2026 first quarter common stock cash dividend by 2.6 percent to $0.39 per share. Future common stock cash dividends will depend upon our financial condition, results of operations, capital requirements, and other factors deemed relevant by our Board of Directors. Restrictions on our ability to pay dividends are disclosed in Part II, Item 7, "Management's Discussion and Analysis of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2025 and 2024, we had 1,000,000 voting shares and 850,000 non-voting shares of preferred stock, par value $1.00 per share, authorized, none of which were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10, 2025, we had 2,250 shareholders of record.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Periodically, the company's Board of Directors authorizes the repurchase of shares of the company's common stock in open-market or privately negotiated transactions under the company's Board authorized stock repurchase program ("stock repurchase program"). The stock repurchase program has no expiration date but may be terminated by the company's Board of Directors at any time. Shares of the company's common stock surrendered by employees to satisfy minimum tax withholding obligations upon vesting of certain stock-based compensation awards are not a part of the stock repurchase program. The following table sets forth information with respect to shares of our common stock repurchased by the company during each of the three fiscal months in our fourth quarter ended October 31,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32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12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2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13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Repurchased As Part of</w:t>
            </w:r>
          </w:p>
        </w:tc>
        <w:tc>
          <w:tcPr>
            <w:tcW w:w="12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(or Units) that May</w:t>
            </w:r>
          </w:p>
        </w:tc>
        <w:tc>
          <w:tcPr>
            <w:tcW w:w="0" w:type="dxa"/>
            <w:vAlign w:val="bottom"/>
          </w:tcPr>
          <w:p>
            <w:pPr>
              <w:spacing w:after="0"/>
              <w:rPr>
                <w:sz w:val="1"/>
                <w:szCs w:val="1"/>
                <w:color w:val="auto"/>
              </w:rPr>
            </w:pPr>
          </w:p>
        </w:tc>
      </w:tr>
      <w:tr>
        <w:trPr>
          <w:trHeight w:val="149"/>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2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Repurchased Under</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auto"/>
            </w:tcBorders>
            <w:vMerge w:val="continue"/>
          </w:tcPr>
          <w:p>
            <w:pPr>
              <w:spacing w:after="0"/>
              <w:rPr>
                <w:sz w:val="17"/>
                <w:szCs w:val="17"/>
                <w:color w:val="auto"/>
              </w:rPr>
            </w:pPr>
          </w:p>
        </w:tc>
        <w:tc>
          <w:tcPr>
            <w:tcW w:w="2620" w:type="dxa"/>
            <w:vAlign w:val="bottom"/>
            <w:tcBorders>
              <w:bottom w:val="single" w:sz="8" w:color="auto"/>
            </w:tcBorders>
          </w:tcPr>
          <w:p>
            <w:pPr>
              <w:jc w:val="right"/>
              <w:ind w:right="88"/>
              <w:spacing w:after="0" w:line="202" w:lineRule="exact"/>
              <w:rPr>
                <w:sz w:val="20"/>
                <w:szCs w:val="20"/>
                <w:color w:val="auto"/>
              </w:rPr>
            </w:pPr>
            <w:r>
              <w:rPr>
                <w:rFonts w:ascii="Times New Roman" w:cs="Times New Roman" w:eastAsia="Times New Roman" w:hAnsi="Times New Roman"/>
                <w:sz w:val="14"/>
                <w:szCs w:val="14"/>
                <w:b w:val="1"/>
                <w:bCs w:val="1"/>
                <w:color w:val="auto"/>
              </w:rPr>
              <w:t>Units) Repurchased</w:t>
            </w:r>
            <w:r>
              <w:rPr>
                <w:rFonts w:ascii="Times New Roman" w:cs="Times New Roman" w:eastAsia="Times New Roman" w:hAnsi="Times New Roman"/>
                <w:sz w:val="18"/>
                <w:szCs w:val="18"/>
                <w:b w:val="1"/>
                <w:bCs w:val="1"/>
                <w:color w:val="auto"/>
                <w:vertAlign w:val="superscript"/>
              </w:rPr>
              <w:t>1, 2, 3, 4</w:t>
            </w:r>
          </w:p>
        </w:tc>
        <w:tc>
          <w:tcPr>
            <w:tcW w:w="138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 Share (or Unit)</w:t>
            </w:r>
          </w:p>
        </w:tc>
        <w:tc>
          <w:tcPr>
            <w:tcW w:w="2000" w:type="dxa"/>
            <w:vAlign w:val="bottom"/>
            <w:tcBorders>
              <w:bottom w:val="single" w:sz="8" w:color="auto"/>
            </w:tcBorders>
          </w:tcPr>
          <w:p>
            <w:pPr>
              <w:jc w:val="center"/>
              <w:ind w:left="8"/>
              <w:spacing w:after="0" w:line="202" w:lineRule="exact"/>
              <w:rPr>
                <w:sz w:val="20"/>
                <w:szCs w:val="20"/>
                <w:color w:val="auto"/>
              </w:rPr>
            </w:pPr>
            <w:r>
              <w:rPr>
                <w:rFonts w:ascii="Times New Roman" w:cs="Times New Roman" w:eastAsia="Times New Roman" w:hAnsi="Times New Roman"/>
                <w:sz w:val="14"/>
                <w:szCs w:val="14"/>
                <w:b w:val="1"/>
                <w:bCs w:val="1"/>
                <w:color w:val="auto"/>
                <w:w w:val="94"/>
              </w:rPr>
              <w:t>Programs</w:t>
            </w:r>
            <w:r>
              <w:rPr>
                <w:rFonts w:ascii="Times New Roman" w:cs="Times New Roman" w:eastAsia="Times New Roman" w:hAnsi="Times New Roman"/>
                <w:sz w:val="18"/>
                <w:szCs w:val="18"/>
                <w:b w:val="1"/>
                <w:bCs w:val="1"/>
                <w:color w:val="auto"/>
                <w:w w:val="94"/>
                <w:vertAlign w:val="superscript"/>
              </w:rPr>
              <w:t>1, 2, 3</w:t>
            </w:r>
          </w:p>
        </w:tc>
        <w:tc>
          <w:tcPr>
            <w:tcW w:w="120" w:type="dxa"/>
            <w:vAlign w:val="bottom"/>
          </w:tcPr>
          <w:p>
            <w:pPr>
              <w:spacing w:after="0"/>
              <w:rPr>
                <w:sz w:val="17"/>
                <w:szCs w:val="17"/>
                <w:color w:val="auto"/>
              </w:rPr>
            </w:pPr>
          </w:p>
        </w:tc>
        <w:tc>
          <w:tcPr>
            <w:tcW w:w="18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7"/>
              </w:rPr>
              <w:t>the Plans or Programs</w:t>
            </w:r>
            <w:r>
              <w:rPr>
                <w:rFonts w:ascii="Times New Roman" w:cs="Times New Roman" w:eastAsia="Times New Roman" w:hAnsi="Times New Roman"/>
                <w:sz w:val="18"/>
                <w:szCs w:val="18"/>
                <w:b w:val="1"/>
                <w:bCs w:val="1"/>
                <w:color w:val="auto"/>
                <w:w w:val="97"/>
                <w:vertAlign w:val="superscript"/>
              </w:rPr>
              <w:t>1, 2, 3</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 2, 2025 through August 29, 2025</w:t>
            </w:r>
          </w:p>
        </w:tc>
        <w:tc>
          <w:tcPr>
            <w:tcW w:w="2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10,391,790</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30, 2025 through October 3, 2025</w:t>
            </w:r>
          </w:p>
        </w:tc>
        <w:tc>
          <w:tcPr>
            <w:tcW w:w="2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10,391,790</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4, 2025 through October 31, 2025</w:t>
            </w:r>
          </w:p>
        </w:tc>
        <w:tc>
          <w:tcPr>
            <w:tcW w:w="2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1,604</w:t>
            </w: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75.77</w:t>
            </w:r>
          </w:p>
        </w:tc>
        <w:tc>
          <w:tcPr>
            <w:tcW w:w="2000" w:type="dxa"/>
            <w:vAlign w:val="bottom"/>
            <w:tcBorders>
              <w:bottom w:val="single" w:sz="8" w:color="auto"/>
            </w:tcBorders>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10,391,790</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1,604</w:t>
            </w:r>
          </w:p>
        </w:tc>
        <w:tc>
          <w:tcPr>
            <w:tcW w:w="5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75.77</w:t>
            </w:r>
          </w:p>
        </w:tc>
        <w:tc>
          <w:tcPr>
            <w:tcW w:w="20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line="233" w:lineRule="auto"/>
        <w:tabs>
          <w:tab w:leader="none" w:pos="183"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December 13, 2022, the company’s Board of Directors authorized the repurchase of up to 5,000,000 shares of common stock under the stock repurchase program. No shares of common stock were repurchased under this tranche of the stock repurchase program during the time period indicated above, and as a result, 391,790 shares of common stock remained available to repurchase as of October 31, 2025.</w:t>
      </w:r>
    </w:p>
    <w:p>
      <w:pPr>
        <w:spacing w:after="0" w:line="96" w:lineRule="exact"/>
        <w:rPr>
          <w:sz w:val="20"/>
          <w:szCs w:val="20"/>
          <w:color w:val="auto"/>
        </w:rPr>
      </w:pPr>
    </w:p>
    <w:p>
      <w:pPr>
        <w:ind w:left="340" w:hanging="332"/>
        <w:spacing w:after="0" w:line="230" w:lineRule="auto"/>
        <w:tabs>
          <w:tab w:leader="none" w:pos="156"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December 10, 2024, the company’s Board of Directors authorized the repurchase of up to an additional 4,000,000 shares of common stock under the stock repurchase program. No shares of common stock were repurchased under this tranche of the stock repurchase program during the time period indicated above.</w:t>
      </w:r>
    </w:p>
    <w:p>
      <w:pPr>
        <w:spacing w:after="0" w:line="82" w:lineRule="exact"/>
        <w:rPr>
          <w:sz w:val="20"/>
          <w:szCs w:val="20"/>
          <w:color w:val="auto"/>
        </w:rPr>
      </w:pPr>
    </w:p>
    <w:p>
      <w:pPr>
        <w:ind w:left="340" w:hanging="332"/>
        <w:spacing w:after="0" w:line="302" w:lineRule="auto"/>
        <w:tabs>
          <w:tab w:leader="none" w:pos="21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December 9, 2025, the company’s Board of Directors authorized the repurchase of up to an additional 6,000,000 shares of common stock under the stock repurchase program. No shares of common stock were repurchased under this tranche of the stock repurchase program during the time period indicated above.</w:t>
      </w:r>
    </w:p>
    <w:p>
      <w:pPr>
        <w:spacing w:after="0" w:line="54" w:lineRule="exact"/>
        <w:rPr>
          <w:sz w:val="20"/>
          <w:szCs w:val="20"/>
          <w:color w:val="auto"/>
        </w:rPr>
      </w:pPr>
    </w:p>
    <w:p>
      <w:pPr>
        <w:ind w:left="340" w:hanging="332"/>
        <w:spacing w:after="0" w:line="230" w:lineRule="auto"/>
        <w:tabs>
          <w:tab w:leader="none" w:pos="272"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1,604 shares of the company's common stock repurchased in open-market transactions at an average price of $75.77 per share on behalf of a rabbi trust formed to pay benefit obligations of the company to participants in the company's deferred compensation plans. These 1,604 shares were not repurchased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Toro Company Common Stock Comparative Performance Graph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stock performance graph and table depict the cumulative total shareholder return (assuming reinvestment of dividends) on $100 invested in each of TTC common stock, the S&amp;P 500 Index, and the S&amp;P 500 Industrial Machinery Index for the five-year period from October 31, 2020 through October 31, 2025. The total returns on TTC common stock depicted in the stock performance graph and table are not necessarily indicative of future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The Toro Company, the S&amp;P 500 Index, and the S&amp;P 500 Industrial Machinery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88265</wp:posOffset>
            </wp:positionV>
            <wp:extent cx="5254625" cy="31375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5462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 invested on 10/31/20 in stock or index, including reinvestment of dividends. Fiscal years ending October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Toro Company</w:t>
            </w: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117.50</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131.55</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102.29</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103.41</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97.99</w:t>
            </w:r>
          </w:p>
        </w:tc>
      </w:tr>
      <w:tr>
        <w:trPr>
          <w:trHeight w:val="19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1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142.91</w:t>
            </w:r>
          </w:p>
        </w:tc>
        <w:tc>
          <w:tcPr>
            <w:tcW w:w="3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122.03</w:t>
            </w:r>
          </w:p>
        </w:tc>
        <w:tc>
          <w:tcPr>
            <w:tcW w:w="3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134.41</w:t>
            </w:r>
          </w:p>
        </w:tc>
        <w:tc>
          <w:tcPr>
            <w:tcW w:w="3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185.51</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225.31</w:t>
            </w: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500 Industrial Machinery Index</w:t>
            </w: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131.99</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114.60</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125.49</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170.97</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174.04</w:t>
            </w:r>
          </w:p>
        </w:tc>
      </w:tr>
    </w:tbl>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is intended to provide a reader of our Consolidated Financial Statements with a narrative from the perspective of management on our financial condition, results of operations, liquidity, and certain other factors that may affect our future results. Our Consolidated Financial Statements and Notes to Consolidated Financial Statements are included in Part II, Item 8, "Financial Statements and Supplementary Data," of this Annual Report on Form 10-K and all references in this MD&amp;A to the Notes to Consolidated Financial Statements can be found in Part II, Item 8, "Financial Statements and Supplementary Data," of this Annual Report on Form 10-K.</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expressly stated otherwise, the comparisons presented in this MD&amp;A refer to the year-over-year comparison of changes in our financial condition and results of operations as of and for the fiscal years ended October 31, 2025 and 2024. Discussion of fiscal 2023 items and the year-over-year comparison of changes in our financial condition and results of operations as of and for the fiscal years ended October 31, 2024 and 2023 can be found in Part II, Item 7, "Management’s Discussion and Analysis of Financial Condition and Results of Operations," of our Annual Report on Form 10-K for the fiscal year ended October 31, 2024. Statements that are not historical are forward-looking and involve risks and uncertainties, including those discussed in Part I, Item 1A, "Risk Factors," and elsewhere in this Annual Report on Form 10-K. These risks and uncertainties could cause our actual results to differ materially from any future performance suggested throughout this MD&amp;A.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MD&amp;A is presented as follows:</w:t>
      </w:r>
    </w:p>
    <w:p>
      <w:pPr>
        <w:spacing w:after="0" w:line="117"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Overview</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Segments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Position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Throughout this MD&amp;A, we have provided financial and liquidity measures that are not calculated or presented in accordance with U.S. GAAP ("non-GAAP financial measures," "adjusted" before specified financial measures, and "non-GAAP liquidity measures"), as information supplemental and in addition to the most directly comparable financial measures presented in this Annual Report on Form 10-K that are calculated and presented in accordance with U.S. GAAP. We believe that these non-GAAP financial measures, when considered in conjunction with our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fiscal 2025 results included the following items of significance that are provided in summary format here and described in greater detail throughout the "Results of Operations," "Business Segments," and "Financial Position" sections:</w:t>
      </w:r>
    </w:p>
    <w:p>
      <w:pPr>
        <w:spacing w:after="0" w:line="54"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for fiscal 2025 were $4,510.4 million, a decrease of 1.6 percent compared to $4,583.8 million in fiscal 2024.</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segment net sales for fiscal 2025 were $3,624.0 million, an increase of 1.9 percent compared to $3,556.9 million in fiscal 2024.</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segment net sales for fiscal 2025 were $858.4 million, a decrease of 14.0 percent compared to $998.3 million in fiscal 2024.</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33.4 percent in fiscal 2025, a decrease of 40 basis points compared to 33.8 percent in fiscal 2024.</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was 34.1 percent in fiscal 2025, an increase of 20 basis points compared to 33.9 percent in fiscal 2024.</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 as a percentage of net sales in fiscal 2025 was 22.5 percent, an increase of 30 basis points compared to 22.2 percent in fiscal 2024.</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for fiscal 2025 were $316.1 million, or $3.17 per diluted share, compared to $418.9 million, or $4.01 per diluted share, in fiscal 2024.</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earnings for fiscal 2025 were $419.6 million, or $4.20 per diluted share, compared to $435.2 million, or $4.17 per diluted share, in fiscal 2024.</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332"/>
        <w:spacing w:after="0" w:line="26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inventory was lower as of the end of fiscal 2025 compared to the end of fiscal 2024, primarily due to decreased balances of golf and grounds and turf products, partially offset by higher balances of underground construction products.</w:t>
      </w:r>
    </w:p>
    <w:p>
      <w:pPr>
        <w:jc w:val="both"/>
        <w:ind w:left="340" w:hanging="332"/>
        <w:spacing w:after="0" w:line="253"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order backlog represents unfulfilled customer orders at a point in time. Our order backlog (including shipments beyond 12 months) decreased $0.4 billion to $0.8 billion as of October 31, 2025 from $1.2 billion as of October 31, 2024, primarily driven by improved manufacturing output and more normalized order patterns. Although we continue to see sustained demand for underground construction and golf and grounds products, we expect backlog to normalize by mid-fiscal 2026 given our improved manufacturing output and lower lead times.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continued our history of paying quarterly cash dividends throughout fiscal 2025 and increased our fiscal 2025 quarterly cash dividend by 5.6 percent to $0.38 per share compared to $0.36 per share paid in fiscal 2024. We also repurchased shares of our common stock under our Board authorized stock repurchase program ("stock repurchase program"), thereby reducing our total shares of common stock outstanding. As a result of the combination of quarterly cash dividends and common stock repurchases, we returned $441.1 million of cash to our shareholders during fiscal 2025. As of October 31, 2025, we had a strong liquidity profile with available liquidity of $1,238.9 million, consisting of cash and cash equivalents of $341.0 million and availability under our revolving credit facility of $897.9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tariff environment is complex and evolving. Our business has incurred, and expects to continue to incur, additional costs as it relates to tariffs. We have taken and will continue to take action to mitigate inflationary pressures caused by tariffs through a combination of targeted price increases, strategic sourcing adjustments, manufacturing and product portfolio optimization, as well as our ongoing efforts to drive sustainable efficiency gains in our operations and administrative structures.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AMP Initiative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fiscal 2024, we launched a significant productivity initiative named AMP, which is a multi-year initiative now on track to achieve at least $125 million of run-rate savings by fiscal 2027, up from the initial program estimate of at least $100 million. The program is driven by sustainable supply-base, design-to-value, route-to-market, and operational efficiency transformation. We expect to reinvest a portion of the savings from this initiative to drive further innovation and growth. As of the fourth quarter of fiscal 2025, the AMP initiative has delivered cumulative cost savings of $78.5 million and anticipated annualized cost savings of $86.2 million. Refer to the section titled "Non-GAAP Financial Measures" for information about the productivity initiative charges incurred to generate these savings.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Spartan Trade Name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the third quarter of fiscal 2025, we recorded an impairment charge of $81.1 million related to the indefinite-lived Spartan trade name intangible asset reported under the Professional segment. Subsequent to this impairment charge, the indefinite-lived Spartan trade name intangible asset is fully impaired, resulting in a carrying value of zero. This impairment charge is included in the Non-cash impairment charge caption on the Consolidated Statements of Earnings. The impairment charge resulted in a $19.7 million income tax benefit (deferred tax asset) associated with the remaining tax deductible basis of the intangible asset. For additional information regarding the impairment charge, refer to Note 5,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in our Notes to Consolidated Financial Statements included in Part II, Item 8 of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July 4, 2025, new U.S tax legislation was signed into law (known as the "One Big Beautiful Bill Act" or "OBBB") which makes permanent many of the tax provisions enacted in 2017 as part of the Tax Cuts and Jobs Act that were set to expire at the end of 2025. In addition, the OBBB makes changes to certain U.S. corporate tax provisions, but many are generally not effective until 2026 or later. The Company is currently evaluating the impact of the new legislation but does not expect it to have a material impact on the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in fiscal 2025 were $4,510.4 million compared to $4,583.8 million in fiscal 2024, a decrease of 1.6 percent. This net sales decrease was primarily driven by lower Residential segment shipments and prior year divestitures, partially offset by net price realization and higher Professional segment shipments.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international markets were $878.3 million for fiscal 2025 compared to $923.0 million in fiscal 2024, a decrease of 4.8 percent. The international net sales decrease was primarily driven by lower shipments of both Residential and Professional segment products. Changes in foreign currency exchange rates resulted in a decrease in our net sales of $4.2 million in fiscal 2025.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as a percentage of our consolidated net sales: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464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6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100.0 %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9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46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(66.6)</w:t>
            </w: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(66.2)</w:t>
            </w:r>
          </w:p>
        </w:tc>
      </w:tr>
      <w:tr>
        <w:trPr>
          <w:trHeight w:val="203"/>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margin</w:t>
            </w:r>
          </w:p>
        </w:tc>
        <w:tc>
          <w:tcPr>
            <w:tcW w:w="46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33.4</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33.8</w:t>
            </w:r>
          </w:p>
        </w:tc>
      </w:tr>
      <w:tr>
        <w:trPr>
          <w:trHeight w:val="19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SG&amp;A expense</w:t>
            </w:r>
          </w:p>
        </w:tc>
        <w:tc>
          <w:tcPr>
            <w:tcW w:w="46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(22.5)</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(22.2)</w:t>
            </w:r>
          </w:p>
        </w:tc>
      </w:tr>
      <w:tr>
        <w:trPr>
          <w:trHeight w:val="203"/>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charge</w:t>
            </w:r>
          </w:p>
        </w:tc>
        <w:tc>
          <w:tcPr>
            <w:tcW w:w="464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(1.8)</w:t>
            </w: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earnings</w:t>
            </w:r>
          </w:p>
        </w:tc>
        <w:tc>
          <w:tcPr>
            <w:tcW w:w="46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9.1</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11.6</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6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(1.3)</w:t>
            </w:r>
          </w:p>
        </w:tc>
        <w:tc>
          <w:tcPr>
            <w:tcW w:w="12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46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0.6</w:t>
            </w:r>
          </w:p>
        </w:tc>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0.9</w:t>
            </w:r>
          </w:p>
        </w:tc>
      </w:tr>
      <w:tr>
        <w:trPr>
          <w:trHeight w:val="203"/>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46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8.4</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11.2</w:t>
            </w:r>
          </w:p>
        </w:tc>
      </w:tr>
      <w:tr>
        <w:trPr>
          <w:trHeight w:val="19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6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(1.4)</w:t>
            </w: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w:t>
            </w:r>
          </w:p>
        </w:tc>
      </w:tr>
      <w:tr>
        <w:trPr>
          <w:trHeight w:val="221"/>
        </w:trPr>
        <w:tc>
          <w:tcPr>
            <w:tcW w:w="5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earnings</w:t>
            </w:r>
          </w:p>
        </w:tc>
        <w:tc>
          <w:tcPr>
            <w:tcW w:w="46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7.0 %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Gross profit represents net sales less cost of sales and gross margin represents gross profit as a percentage of net sales. Refer to Note 1,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 and Related Data</w:t>
      </w:r>
      <w:r>
        <w:rPr>
          <w:rFonts w:ascii="Times New Roman" w:cs="Times New Roman" w:eastAsia="Times New Roman" w:hAnsi="Times New Roman"/>
          <w:sz w:val="18"/>
          <w:szCs w:val="18"/>
          <w:color w:val="auto"/>
        </w:rPr>
        <w:t>, of the Notes to Consolidated Financial Statements within the section entitled "Cost of Sales,"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expenses included in cost of sales. Gross profit for fiscal 2025 was $1,504.8 million, down 2.9 percent compared to gross profit of $1,549.3 million in fiscal 2024. Gross margin was 33.4 percent in fiscal 2025 compared to 33.8 percent in fiscal 2024, a decrease of 40 basis points. This gross margin decrease was primarily due to lower net sales volume, higher material and manufacturing costs, inventory valuation adjustments, and higher productivity initiative charges, partially offset by productivity improvements, net price realization, and product mix.</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SG&amp;A expense decreased $2.2 million, or 0.2 percent, in fiscal 2025 compared to fiscal 2024. Refer to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Data</w:t>
      </w:r>
      <w:r>
        <w:rPr>
          <w:rFonts w:ascii="Times New Roman" w:cs="Times New Roman" w:eastAsia="Times New Roman" w:hAnsi="Times New Roman"/>
          <w:sz w:val="18"/>
          <w:szCs w:val="18"/>
          <w:color w:val="auto"/>
        </w:rPr>
        <w:t>, of the Notes to Consolidated Financial Statements within the section entitled "Selling, General and Administrative Expense"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expenses included in SG&amp;A expense. As a percentage of net sales, SG&amp;A expense was 22.5 percent in fiscal 2025 compared to 22.2 percent in fiscal 2024, an increase of 30 basis points. The increase in SG&amp;A expense as a percentage of net sales was primarily due to lower net sales volume and higher incentive expenses, partially offset by cost savings measures.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Impairment Charge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 non-cash impairment charge of $81.1 million within our Other activities in fiscal 2025. No impairment charges were recognized in fiscal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primarily consists of interest costs incurred on outstanding borrowings related to our fixed and variable interest rate debt arrangements, as well as amortization of the debt issuance costs associated with our debt arrangements. Interest expense for fiscal 2025 decreased $2.8 million compared to fiscal 2024. This decrease was primarily driven by lower average interest rates during fiscal 2025 compared to fiscal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net for fiscal 2025 was $26.8 million compared to $41.4 million in fiscal 2024, a decrease of $14.6 million in fiscal 2025 as compared to fiscal 2024. This decrease in other income, net was primarily due to prior year net gains on divestitures, current year net losses on divestitures, prior year net favorable legal settlement activity, and lower income from our Red Iron joint venture, partially offset by the favorable impact from derivative instruments.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fiscal 2025 was 16.3 percent compared to 18.3 percent in fiscal 2024. The decrease in the effective tax rate for fiscal 2025 was primarily due to the impact of the non-cash impairment charge and a more favorable geographic mix of earnings in the current year, partially offset by lower tax benefits recorded as excess tax deductions for stock compensation. The adjusted effective tax rate for fiscal 2025 was 17.8 percent, compared to an adjusted effective tax rate of 18.8 percent in fiscal 2024. The decrease in the adjusted effective tax rate was primarily due to a more favorable geographic mix of earnings.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and Net Earnings Per Diluted Share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Fiscal 2025 net earnings were $316.1 million compared to $418.9 million in fiscal 2024, a decrease of 24.5 percent. Fiscal 2025 diluted net earnings per share were $3.17, a decrease of 20.9 percent from $4.01 per diluted share in fiscal 2024. The decrease in net earnings per diluted share for fiscal 2025 was primarily due to the non-cash impairment charge, higher productivity initiative charges, lower Residential segment earnings, and higher incentive expenses, partially offset by higher Professional segment earnings and lower shares outstanding. Adjusted net earnings for fiscal 2025 were $419.6 million, or $4.20 per diluted share, compared to $435.2 million, or $4.17 per diluted share, in fiscal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more fully described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of the Notes to Consolidated Financial Statements, we operate in two reportable business segments: Professional and Residential. Segment earnings (loss) before interest and taxes ("EBIT") for our Professional and Residential reportable segments are defined as earnings from operations plus other income, net. Our remaining activities consisting of a wholly-owned domestic distribution company, Red Iron joint venture, certain corporate activities, impairment charges, and the elimination of intersegment revenues and expenses, are presented as "Other" due to their insignificance. Corporate activities include general corporate expenditures, such as finance, human resources, legal, information technology, public relations, business development, and similar activities, productivity initiative charges, and other unallocated corporate assets and liabilities, such as corporate facilities and deferred tax assets and liabilities. The following information provides perspective on the net sales and results of our reportable business segments and Other activities.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Segment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segment net sales represented 80.3 percent and 77.6 percent of consolidated net sales for fiscal 2025 and 2024, respectively. The following table presents our Professional segment's net sales, EBIT, and EBIT margin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3,624.0</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3,556.9</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change from prior year</w:t>
            </w:r>
          </w:p>
        </w:tc>
        <w:tc>
          <w:tcPr>
            <w:tcW w:w="33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1.9 %</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w:t>
            </w:r>
          </w:p>
        </w:tc>
        <w:tc>
          <w:tcPr>
            <w:tcW w:w="3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702.5</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638.9</w:t>
            </w:r>
          </w:p>
        </w:tc>
      </w:tr>
      <w:tr>
        <w:trPr>
          <w:trHeight w:val="196"/>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EBIT margin</w:t>
            </w:r>
          </w:p>
        </w:tc>
        <w:tc>
          <w:tcPr>
            <w:tcW w:w="3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19.4 %</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Segment Net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our Professional segment in fiscal 2025 increased 1.9 percent compared to fiscal 2024. This increase was primarily driven by higher shipments of golf, grounds, and underground construction products, as well as net price realization, partially offset by prior year divestitures and lower shipments of specialty construction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Segment EBIT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Professional segment EBIT increased 10.0 percent in fiscal 2025 compared to fiscal 2024, and Professional segment EBIT margin increased to 19.4 percent from 18.0 percent. The increase in Professional segment EBIT margin for fiscal 2025 was primarily due to net price realization, productivity improvements, cost savings measures, partially offset by higher material and manufacturing costs and inventory valuation adjustments.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Segment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segment net sales represented 19.0 percent and 21.8 percent of consolidated net sales for fiscal 2025 and 2024, respectively. The following table presents our Residential segment's net sales, EBIT, and EBIT margin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4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4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858.4</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998.3</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change from prior year</w:t>
            </w:r>
          </w:p>
        </w:tc>
        <w:tc>
          <w:tcPr>
            <w:tcW w:w="3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16.9 %</w:t>
            </w: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w:t>
            </w:r>
          </w:p>
        </w:tc>
        <w:tc>
          <w:tcPr>
            <w:tcW w:w="34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35.8</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78.4</w:t>
            </w:r>
          </w:p>
        </w:tc>
      </w:tr>
      <w:tr>
        <w:trPr>
          <w:trHeight w:val="196"/>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EBIT margin</w:t>
            </w:r>
          </w:p>
        </w:tc>
        <w:tc>
          <w:tcPr>
            <w:tcW w:w="3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Segment Net Sales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for our Residential segment in fiscal 2025 decreased by 14.0 percent compared to fiscal 2024. This decrease was primarily driven by lower shipments broadly across the segment, as well as the prior year Pope divestiture.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Segment EBIT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segment EBIT decreased 54.3 percent in fiscal 2025 compared to fiscal 2024, and Residential segment EBIT margin decreased to 4.2 percent from 7.9 percent. The decrease in Residential segment EBIT margin for fiscal 2025 was primarily driven by lower net sales volume, higher material and manufacturing costs, and inventory valuation adjustments, partially offset by productivity improvements and cost savings measures.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our Other activities consist of sales from a wholly-owned domestic distribution company less intercompany sales from our Professional and Residential business segments to a wholly-owned domestic distribution company. Net sales for our Other activities represented 0.7 percent and 0.6 percent of consolidated net sales for fiscal 2025 and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and EBIT (Loss) for our Other activities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4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4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28.0</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28.6</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change from prior year</w:t>
            </w:r>
          </w:p>
        </w:tc>
        <w:tc>
          <w:tcPr>
            <w:tcW w:w="34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380" w:type="dxa"/>
            <w:vAlign w:val="bottom"/>
          </w:tcPr>
          <w:p>
            <w:pPr>
              <w:spacing w:after="0"/>
              <w:rPr>
                <w:sz w:val="16"/>
                <w:szCs w:val="16"/>
                <w:color w:val="auto"/>
              </w:rPr>
            </w:pPr>
          </w:p>
        </w:tc>
        <w:tc>
          <w:tcPr>
            <w:tcW w:w="11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17.2 %</w:t>
            </w:r>
          </w:p>
        </w:tc>
      </w:tr>
      <w:tr>
        <w:trPr>
          <w:trHeight w:val="203"/>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 (Loss)</w:t>
            </w:r>
            <w:r>
              <w:rPr>
                <w:rFonts w:ascii="Times New Roman" w:cs="Times New Roman" w:eastAsia="Times New Roman" w:hAnsi="Times New Roman"/>
                <w:sz w:val="9"/>
                <w:szCs w:val="9"/>
                <w:color w:val="auto"/>
              </w:rPr>
              <w:t>1</w:t>
            </w:r>
          </w:p>
        </w:tc>
        <w:tc>
          <w:tcPr>
            <w:tcW w:w="340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(301.6)</w:t>
            </w:r>
          </w:p>
        </w:tc>
        <w:tc>
          <w:tcPr>
            <w:tcW w:w="3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(142.6)</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5"/>
          <w:szCs w:val="15"/>
          <w:color w:val="auto"/>
        </w:rPr>
        <w:t>Presentation of fiscal 2024 EBIT (Loss) has been conformed to the current year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 Sales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for our Other activities includes sales from a wholly-owned domestic distribution company net of intersegment sales from the Professional and Residential segments to the distribution company. Net sales for our Other activities in fiscal 2025 decreased $0.6 million compared to fiscal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EBIT (Loss)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 before interest and taxes for our Other activities increased $159.0 million in fiscal 2025 compared to fiscal 2024. This year-over-year loss increase was primarily driven by the non-cash impairment charge, higher productivity initiative charges, and higher incentive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ongoing goal is to maintain requisite inventory levels to meet our anticipated production requirements, avoid manufacturing delays, and meet the demand for our products, as well as working to ensure service parts availability for our customers. The following table highlights several key measures of our working capital performance (dollars in millions except average days outstanding and turnover):</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0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receivables, net</w:t>
            </w:r>
          </w:p>
        </w:tc>
        <w:tc>
          <w:tcPr>
            <w:tcW w:w="3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455.2</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inventories, net</w:t>
            </w:r>
          </w:p>
        </w:tc>
        <w:tc>
          <w:tcPr>
            <w:tcW w:w="30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1,115.6</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1,156.8</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accounts payable</w:t>
            </w:r>
          </w:p>
        </w:tc>
        <w:tc>
          <w:tcPr>
            <w:tcW w:w="3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427.5</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days outstanding for receivables</w:t>
            </w:r>
          </w:p>
        </w:tc>
        <w:tc>
          <w:tcPr>
            <w:tcW w:w="30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36.8</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20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inventory turnover (times per fiscal year)</w:t>
            </w:r>
          </w:p>
        </w:tc>
        <w:tc>
          <w:tcPr>
            <w:tcW w:w="30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end of fiscal 2025, our average net working capital was 25.3 percent compared to 25.9 percent as of the end of fiscal 2024. We calculate our average net working capital as average net accounts receivable plus average net inventory, less average accounts payable as a percentage of net sales for a twelve month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impacted our average net working capital during fiscal 2025 as compared to fiscal 2024:</w:t>
      </w:r>
    </w:p>
    <w:p>
      <w:pPr>
        <w:spacing w:after="0" w:line="117" w:lineRule="exact"/>
        <w:rPr>
          <w:sz w:val="20"/>
          <w:szCs w:val="20"/>
          <w:color w:val="auto"/>
        </w:rPr>
      </w:pPr>
    </w:p>
    <w:p>
      <w:pPr>
        <w:ind w:left="340" w:hanging="332"/>
        <w:spacing w:after="0" w:line="261"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net receivables decreased by 5.2 percent, primarily driven by timing of shipments and lower net sales volume. Our average days outstanding for receivables decreased to 36.8 days in fiscal 2025 compared to 38.2 days in fiscal 2024.</w:t>
      </w: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net inventories decreased by 3.6 percent, primarily due to lower raw materials, work in process, and finished goods balances.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accounts payable decreased by 4.8 percent, primarily due to lower purchases.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ongoing capital investments in our property, plant, and equipment and believe that in periods of normalized supply chain conditions our historical capital investments in our manufacturing facilities and other capital assets will increase the production capacity and efficiencies of our operations to better enable us to meet the needs of our customers. Fiscal 2025 capital expenditures of $83.7 million were $19.8 million lower than our fiscal 2024 capital expenditures of $103.5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provided by/(used in) operating, investing, and financing activities during the past two fiscal years are shown in the following table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62865</wp:posOffset>
            </wp:positionV>
            <wp:extent cx="17487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81"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Cash Provided by/(Used in)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662.0</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569.9</w:t>
            </w:r>
          </w:p>
        </w:tc>
      </w:tr>
      <w:tr>
        <w:trPr>
          <w:trHeight w:val="195"/>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8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(77.4)</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8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(446.1)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(505.1)</w:t>
            </w:r>
          </w:p>
        </w:tc>
      </w:tr>
      <w:tr>
        <w:trPr>
          <w:trHeight w:val="196"/>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w:t>
            </w:r>
          </w:p>
        </w:tc>
        <w:tc>
          <w:tcPr>
            <w:tcW w:w="28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5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8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141.5</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6"/>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as of the end of the fiscal period</w:t>
            </w:r>
          </w:p>
        </w:tc>
        <w:tc>
          <w:tcPr>
            <w:tcW w:w="2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341.0</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w:t>
            </w:r>
          </w:p>
        </w:tc>
      </w:tr>
      <w:tr>
        <w:trPr>
          <w:trHeight w:val="27"/>
        </w:trPr>
        <w:tc>
          <w:tcPr>
            <w:tcW w:w="59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primary source of funds is cash generated from operations. In fiscal 2025, cash provided by operating activities increased $92.1 million from fiscal 2024. This increase was mainly due to net favorable fluctuations in working capital.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Acquisitions and capital expenditures are a significant use of our capital resources. These investments are intended to enable sales growth in new, existing, and expanding markets, help us meet product demand, and increase our manufacturing efficiencies and capacity. In fiscal 2025, cash used in investing activities increased $17.7 million from fiscal 2024. This increase was primarily driven by lower proceeds from divestitures, partially offset by lower purchases of property, plant, and equipment in the current year period compared to the prior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fiscal 2025, cash used in financing activities decreased $59.0 million from fiscal 2024. This decrease was mainly due to net debt repayments in the prior year, partially offset by higher common stock repurchases.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2025, we had available liquidity of $1,238.9 million, consisting of cash and cash equivalents of $341.0 million, of which $141.3 million was held by our foreign subsidiaries, and availability under our revolving credit facility of $897.9 million.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$45.8 million of cash and cash equivalents held by our foreign subsidiaries will be indefinitely reinvested. Should these cash and cash equivalents be distributed in the future in the form of dividends or otherwise, we may be subject to foreign withholding taxes, state income taxes, and/or additional federal taxes for currency fluctuations. As of October 31, 2025, the unrecognized deferred tax liabilities for temporary differences related to our investment in non-U.S. subsidiaries, and any withholding, state, or additional federal taxes upon any future repatriation, are not material and have not been recorded.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current liquidity position, including the funds available through existing, and potential future, financing arrangements and projected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indebtedness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 due October 2029</w:t>
            </w:r>
          </w:p>
        </w:tc>
        <w:tc>
          <w:tcPr>
            <w:tcW w:w="3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due October 2029</w:t>
            </w:r>
          </w:p>
        </w:tc>
        <w:tc>
          <w:tcPr>
            <w:tcW w:w="3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200.0</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due April 2027</w:t>
            </w:r>
          </w:p>
        </w:tc>
        <w:tc>
          <w:tcPr>
            <w:tcW w:w="3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3.81% series A senior notes, due June 2029</w:t>
            </w:r>
          </w:p>
        </w:tc>
        <w:tc>
          <w:tcPr>
            <w:tcW w:w="3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3.91% series B senior notes, due June 2031</w:t>
            </w:r>
          </w:p>
        </w:tc>
        <w:tc>
          <w:tcPr>
            <w:tcW w:w="3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3.97% senior notes, due June 2032</w:t>
            </w:r>
          </w:p>
        </w:tc>
        <w:tc>
          <w:tcPr>
            <w:tcW w:w="3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5.27% senior notes, due September 2032</w:t>
            </w:r>
          </w:p>
        </w:tc>
        <w:tc>
          <w:tcPr>
            <w:tcW w:w="3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7.8% debentures, due June 2027</w:t>
            </w:r>
          </w:p>
        </w:tc>
        <w:tc>
          <w:tcPr>
            <w:tcW w:w="3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6.625% senior notes, due May 2037</w:t>
            </w:r>
          </w:p>
        </w:tc>
        <w:tc>
          <w:tcPr>
            <w:tcW w:w="3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124.3</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196"/>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3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6"/>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2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921.5</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921.8</w:t>
            </w:r>
          </w:p>
        </w:tc>
      </w:tr>
      <w:tr>
        <w:trPr>
          <w:trHeight w:val="196"/>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3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21"/>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32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921.5</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911.8</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Principal payments required on our outstanding indebtedness, based on the maturity dates defined within our debt arrangements, for each of the succeeding fiscal years is as follows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Succeeding fiscal year</w:t>
            </w:r>
          </w:p>
        </w:tc>
        <w:tc>
          <w:tcPr>
            <w:tcW w:w="5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payments</w:t>
            </w:r>
          </w:p>
        </w:tc>
      </w:tr>
      <w:tr>
        <w:trPr>
          <w:trHeight w:val="20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7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4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7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525.0</w:t>
            </w:r>
          </w:p>
        </w:tc>
      </w:tr>
      <w:tr>
        <w:trPr>
          <w:trHeight w:val="221"/>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principal payments</w:t>
            </w:r>
          </w:p>
        </w:tc>
        <w:tc>
          <w:tcPr>
            <w:tcW w:w="47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925.0</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47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payments required on our outstanding indebtedness, assuming no prepayments of indebtedness, for each of the succeeding fiscal years is as follows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Succeeding fiscal year</w:t>
            </w:r>
          </w:p>
        </w:tc>
        <w:tc>
          <w:tcPr>
            <w:tcW w:w="4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Interest payments</w:t>
            </w: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4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96"/>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variable rate debt was calculated using the interest rate as of October 31, 2025.</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revolving credit facility has a borrowing capacity of up to $900.0 million that matures on October 2, 2029. Included in the revolving credit facility is a $10.0 million sublimit for standby letters of credit and a $75.0 million sublimit for swingline loans. At our election, and with the approval of the named borrowers on the revolving credit facility and the election of the lenders to fund such increase, the aggregate maximum principal amount available under the revolving credit facility may be increased by an amount of up to $450.0 million. As of October 31, 2025 we had no outstanding borrowings under the revolving credit facility and $2.1 million outstanding under the sublimit for standby letters of credit, resulting in $897.9 million of unutilized availability under our revolving credit facility. As of October 31, 2024 we had no outstanding borrowings under the revolving credit facility and $2.7 million outstanding under the sublimit for standby letters of credit, resulting in $897.3 million of unutilized availability under our revolving credit facility. As of October 31, 2025, our debt ratings for long-term unsecured senior, non-credit enhanced debt by Standard and Poor's Ratings Group and by Moody's Investors Service were BBB and Baa1, respectively, and in both cases with a stable outlook.</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agreements contain customary representations and warranties of the company, event of default provisions, as well as certain customary covenants, including, without limitation, financial covenants, such as the maintenance of a maximum leverage ratio; and negative covenants, which among other things, limit cash dividends, disposition of assets, consolidations and mergers, liens, and other matters customarily restricted in such agreements. Most of these restrictions are subject to certain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minimum thresholds, and we were in compliance with all covenants under our outstanding indebtedness as of October 31, 2025. The agreements governing our outstanding indebtedness are described in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the Notes to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capital structure and debt-to-capitalization ratio (dollars in millions, except percentage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6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8"/>
                <w:szCs w:val="18"/>
                <w:color w:val="auto"/>
              </w:rPr>
            </w:pPr>
          </w:p>
        </w:tc>
      </w:tr>
      <w:tr>
        <w:trPr>
          <w:trHeight w:val="202"/>
        </w:trPr>
        <w:tc>
          <w:tcPr>
            <w:tcW w:w="4940" w:type="dxa"/>
            <w:vAlign w:val="bottom"/>
            <w:shd w:val="clear" w:color="auto" w:fill="D1ECFA"/>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660" w:type="dxa"/>
            <w:vAlign w:val="bottom"/>
            <w:shd w:val="clear" w:color="auto" w:fill="D1ECFA"/>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921.5</w:t>
            </w:r>
          </w:p>
        </w:tc>
        <w:tc>
          <w:tcPr>
            <w:tcW w:w="600" w:type="dxa"/>
            <w:vAlign w:val="bottom"/>
            <w:shd w:val="clear" w:color="auto" w:fill="D1ECFA"/>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921.8</w:t>
            </w:r>
          </w:p>
        </w:tc>
        <w:tc>
          <w:tcPr>
            <w:tcW w:w="160" w:type="dxa"/>
            <w:vAlign w:val="bottom"/>
            <w:shd w:val="clear" w:color="auto" w:fill="D1ECFA"/>
          </w:tcPr>
          <w:p>
            <w:pPr>
              <w:spacing w:after="0"/>
              <w:rPr>
                <w:sz w:val="17"/>
                <w:szCs w:val="17"/>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3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1,453.3</w:t>
            </w:r>
          </w:p>
        </w:tc>
        <w:tc>
          <w:tcPr>
            <w:tcW w:w="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1,551.9</w:t>
            </w:r>
          </w:p>
        </w:tc>
        <w:tc>
          <w:tcPr>
            <w:tcW w:w="160" w:type="dxa"/>
            <w:vAlign w:val="bottom"/>
          </w:tcPr>
          <w:p>
            <w:pPr>
              <w:spacing w:after="0"/>
              <w:rPr>
                <w:sz w:val="16"/>
                <w:szCs w:val="16"/>
                <w:color w:val="auto"/>
              </w:rPr>
            </w:pPr>
          </w:p>
        </w:tc>
      </w:tr>
      <w:tr>
        <w:trPr>
          <w:trHeight w:val="203"/>
        </w:trPr>
        <w:tc>
          <w:tcPr>
            <w:tcW w:w="4940" w:type="dxa"/>
            <w:vAlign w:val="bottom"/>
            <w:tcBorders>
              <w:bottom w:val="single" w:sz="8" w:color="auto"/>
            </w:tcBorders>
            <w:shd w:val="clear" w:color="auto" w:fill="D1ECFA"/>
          </w:tcPr>
          <w:p>
            <w:pPr>
              <w:ind w:left="20"/>
              <w:spacing w:after="0"/>
              <w:rPr>
                <w:sz w:val="20"/>
                <w:szCs w:val="20"/>
                <w:color w:val="auto"/>
              </w:rPr>
            </w:pPr>
            <w:r>
              <w:rPr>
                <w:rFonts w:ascii="Times New Roman" w:cs="Times New Roman" w:eastAsia="Times New Roman" w:hAnsi="Times New Roman"/>
                <w:sz w:val="14"/>
                <w:szCs w:val="14"/>
                <w:color w:val="auto"/>
              </w:rPr>
              <w:t>Debt-to-capitalization ratio</w:t>
            </w:r>
          </w:p>
        </w:tc>
        <w:tc>
          <w:tcPr>
            <w:tcW w:w="3660" w:type="dxa"/>
            <w:vAlign w:val="bottom"/>
            <w:tcBorders>
              <w:bottom w:val="single" w:sz="8" w:color="auto"/>
            </w:tcBorders>
            <w:shd w:val="clear" w:color="auto" w:fill="D1ECFA"/>
          </w:tcPr>
          <w:p>
            <w:pPr>
              <w:spacing w:after="0"/>
              <w:rPr>
                <w:sz w:val="17"/>
                <w:szCs w:val="17"/>
                <w:color w:val="auto"/>
              </w:rPr>
            </w:pPr>
          </w:p>
        </w:tc>
        <w:tc>
          <w:tcPr>
            <w:tcW w:w="940" w:type="dxa"/>
            <w:vAlign w:val="bottom"/>
            <w:tcBorders>
              <w:bottom w:val="single" w:sz="8" w:color="auto"/>
            </w:tcBorders>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600" w:type="dxa"/>
            <w:vAlign w:val="bottom"/>
            <w:tcBorders>
              <w:bottom w:val="single" w:sz="8" w:color="auto"/>
            </w:tcBorders>
            <w:shd w:val="clear" w:color="auto" w:fill="D1ECFA"/>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60" w:type="dxa"/>
            <w:vAlign w:val="bottom"/>
            <w:tcBorders>
              <w:bottom w:val="single" w:sz="8" w:color="auto"/>
            </w:tcBorders>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debt-to-capitalization ratio increased in fiscal 2025 compared to fiscal 2024 primarily due to shareholder buybacks and dividends partially offset by our continued profitability.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each quarter of fiscal 2025, our Board of Directors declared a common stock cash dividend of $0.38 per share, which was a 5.6 percent increase over our common stock cash dividend of $0.36 per share paid each quarter in fiscal 2024. On December 9, 2025, our Board of Directors increased our fiscal 2026 first quarter common stock cash dividend by 2.6 percent to $0.39 per share. Future common stock cash dividends will depend upon our financial condition, results of operations, capital requirements, and other factors deemed relevant by our Board of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 repurchase program provides shares for use in connection with our stock-based compensation plans, among other uses, and has no expiration. The following table provides information with respect to repurchases of our common stock during the past two fiscal years (dollars in millions,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9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of Board authorized common stock repurchased</w:t>
            </w:r>
          </w:p>
        </w:tc>
        <w:tc>
          <w:tcPr>
            <w:tcW w:w="29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3,780,167</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2,777,534</w:t>
            </w:r>
          </w:p>
        </w:tc>
      </w:tr>
      <w:tr>
        <w:trPr>
          <w:trHeight w:val="19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to repurchase common stock</w:t>
            </w:r>
          </w:p>
        </w:tc>
        <w:tc>
          <w:tcPr>
            <w:tcW w:w="2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290.0</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w:t>
            </w:r>
          </w:p>
        </w:tc>
      </w:tr>
      <w:tr>
        <w:trPr>
          <w:trHeight w:val="203"/>
        </w:trPr>
        <w:tc>
          <w:tcPr>
            <w:tcW w:w="5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price paid per share</w:t>
            </w:r>
          </w:p>
        </w:tc>
        <w:tc>
          <w:tcPr>
            <w:tcW w:w="29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76.72</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88.39</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2025, 4,391,790 shares of our common stock remained available for repurchase under our stock repurchase program. On December 9, 2025, the company's Board of Directors authorized the repurchase of up to an additional 6,000,000 shares of common stock under the stock repurchase program. This repurchase authorization has no expiration date. We currently expect to continue stock repurchases in fiscal 2026, depending on our cash balance, debt repayments, common stock price and other market conditions, our anticipated working capital needs, and/or other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 Arrangements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inventory financing arrangements with Red Iron, HCFC, and other third-party financial institutions (collectively, the "financial institutions") which provide inventory financing to certain dealers and distributors of certain of our products in the U.S. and internationally. These financing arrangements are structured as an advance in the form of a payment by the financial institutions to us on behalf of a distributor or dealer with respect to invoices financed by the financial institution. These payments extinguish the obligation of the dealer or distributor to make payment to us under the terms of the applicable invoice.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separate agreements between the financial institutions and the dealers and distributors, the financial institutions provide loans to the dealers and distributors for the advances paid by the financial institutions to us. Under these financing arrangements, down payments are not required, and depending on the finance program for each product line, finance charges are incurred by us, shared between us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becomes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 with Red Iron during fiscal 2025 and 2024 was $2,680.9 million and $2,613.3 million, respectively. The total amount of net receivables outstanding under the arrangement with Red Iron as of October 31, 2025 and 2024 was $807.6 million and $979.6 million, respectively. The total amount of receivables due from Red Iron to us as of October 31, 2025 and 2024 were $21.6 million and $26.0 million, respectively.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arrangements with HCFC and the other third-party financial institutions during fiscal 2025 and 2024 was $712.5 million and $612.1 million, respectively. As of October 31, 2025 and 2024, $308.3 million and $272.2 million, respectively, of receivables financed by HCFC and the other third-party financial institutions were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Repurchase Agreements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inventory repurchase agreements with the other third-party financial institutions under which we have agreed to repurchase certain repossessed products. As of October 31, 2025 and 2024, we were contingently liable to repurchase up to a maximum amount of $29.0 million and $29.5 million of repossessed inventory,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over the past three fiscal years.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agreements with third-party financing companies to provide financing options to end-customers throughout the world. The purpose of these agreements is to provide end-users of our products alternative financing options when purchasing our products. We have no material contingent liabilities for residual value or credit collection risk under these agreements with third-party financing companies.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agreements where we provide recourse to third-party finance companies in the event of default by the customer for financing payments to the third-party finance company. We may recover a portion of any required recourse payments incurred under these agreements from repossession and resale of the equipment collateralizing the receivables. Our maximum exposure for credit collection under those arrangements as of October 31, 2025 and 2024 was $4.1 million and $2.9 million, respectively.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Account Terms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provide financing in the form of open account terms directly to home centers and mass retailers, general line irrigation dealers, certain domestic and international distributors and dealers, ag-irrigation dealers and distributors, government customers, and rental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provided in this Annual Report on Form 10-K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these non-GAAP financial measures, when considered in conjunction with our Consolidated Financial Statements prepared in accordance with U.S. GAAP, provide investors with useful supplemental financial information to better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financial performance measures calculated and reported in accordance with U.S. GAAP to the most directly comparable non-GAAP financial performance measures for the fiscal years ended October 31, 2025 and 2024 (dollars in millions, except per share and percentage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0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4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40" w:type="dxa"/>
            <w:vAlign w:val="bottom"/>
            <w:tcBorders>
              <w:top w:val="single" w:sz="8" w:color="auto"/>
              <w:bottom w:val="single" w:sz="8" w:color="auto"/>
            </w:tcBorders>
          </w:tcPr>
          <w:p>
            <w:pPr>
              <w:spacing w:after="0"/>
              <w:rPr>
                <w:sz w:val="18"/>
                <w:szCs w:val="18"/>
                <w:color w:val="auto"/>
              </w:rPr>
            </w:pPr>
          </w:p>
        </w:tc>
      </w:tr>
      <w:tr>
        <w:trPr>
          <w:trHeight w:val="20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1,549.3</w:t>
            </w:r>
          </w:p>
        </w:tc>
        <w:tc>
          <w:tcPr>
            <w:tcW w:w="140" w:type="dxa"/>
            <w:vAlign w:val="bottom"/>
            <w:shd w:val="clear" w:color="auto" w:fill="CCEEFF"/>
          </w:tcPr>
          <w:p>
            <w:pPr>
              <w:spacing w:after="0"/>
              <w:rPr>
                <w:sz w:val="17"/>
                <w:szCs w:val="17"/>
                <w:color w:val="auto"/>
              </w:rPr>
            </w:pPr>
          </w:p>
        </w:tc>
      </w:tr>
      <w:tr>
        <w:trPr>
          <w:trHeight w:val="203"/>
        </w:trPr>
        <w:tc>
          <w:tcPr>
            <w:tcW w:w="542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1</w:t>
            </w:r>
          </w:p>
        </w:tc>
        <w:tc>
          <w:tcPr>
            <w:tcW w:w="30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tcBorders>
              <w:bottom w:val="single" w:sz="8" w:color="auto"/>
            </w:tcBorders>
          </w:tcPr>
          <w:p>
            <w:pPr>
              <w:spacing w:after="0"/>
              <w:rPr>
                <w:sz w:val="17"/>
                <w:szCs w:val="17"/>
                <w:color w:val="auto"/>
              </w:rPr>
            </w:pPr>
          </w:p>
        </w:tc>
      </w:tr>
      <w:tr>
        <w:trPr>
          <w:trHeight w:val="19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gross profit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1,555.0</w:t>
            </w:r>
          </w:p>
        </w:tc>
        <w:tc>
          <w:tcPr>
            <w:tcW w:w="140" w:type="dxa"/>
            <w:vAlign w:val="bottom"/>
            <w:tcBorders>
              <w:bottom w:val="single" w:sz="8" w:color="auto"/>
            </w:tcBorders>
            <w:shd w:val="clear" w:color="auto" w:fill="CCEEFF"/>
          </w:tcPr>
          <w:p>
            <w:pPr>
              <w:spacing w:after="0"/>
              <w:rPr>
                <w:sz w:val="16"/>
                <w:szCs w:val="16"/>
                <w:color w:val="auto"/>
              </w:rPr>
            </w:pP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30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33.4 %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33.8 %</w:t>
            </w:r>
          </w:p>
        </w:tc>
      </w:tr>
      <w:tr>
        <w:trPr>
          <w:trHeight w:val="203"/>
        </w:trPr>
        <w:tc>
          <w:tcPr>
            <w:tcW w:w="542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1</w:t>
            </w:r>
          </w:p>
        </w:tc>
        <w:tc>
          <w:tcPr>
            <w:tcW w:w="30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89"/>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gross margin</w:t>
            </w:r>
          </w:p>
        </w:tc>
        <w:tc>
          <w:tcPr>
            <w:tcW w:w="30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34.1 %</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33.9 %</w:t>
            </w: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earnings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140" w:type="dxa"/>
            <w:vAlign w:val="bottom"/>
            <w:shd w:val="clear" w:color="auto" w:fill="CCEEFF"/>
          </w:tcPr>
          <w:p>
            <w:pPr>
              <w:spacing w:after="0"/>
              <w:rPr>
                <w:sz w:val="17"/>
                <w:szCs w:val="17"/>
                <w:color w:val="auto"/>
              </w:rPr>
            </w:pP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40" w:type="dxa"/>
            <w:vAlign w:val="bottom"/>
          </w:tcPr>
          <w:p>
            <w:pPr>
              <w:spacing w:after="0"/>
              <w:rPr>
                <w:sz w:val="17"/>
                <w:szCs w:val="17"/>
                <w:color w:val="auto"/>
              </w:rPr>
            </w:pP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w:t>
            </w:r>
            <w:r>
              <w:rPr>
                <w:rFonts w:ascii="Times New Roman" w:cs="Times New Roman" w:eastAsia="Times New Roman" w:hAnsi="Times New Roman"/>
                <w:sz w:val="18"/>
                <w:szCs w:val="18"/>
                <w:color w:val="auto"/>
                <w:vertAlign w:val="superscript"/>
              </w:rPr>
              <w:t>2</w:t>
            </w:r>
          </w:p>
        </w:tc>
        <w:tc>
          <w:tcPr>
            <w:tcW w:w="30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r>
      <w:tr>
        <w:trPr>
          <w:trHeight w:val="18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operating earnings</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560.5</w:t>
            </w:r>
          </w:p>
        </w:tc>
        <w:tc>
          <w:tcPr>
            <w:tcW w:w="140" w:type="dxa"/>
            <w:vAlign w:val="bottom"/>
            <w:tcBorders>
              <w:bottom w:val="single" w:sz="8" w:color="auto"/>
            </w:tcBorders>
          </w:tcPr>
          <w:p>
            <w:pPr>
              <w:spacing w:after="0"/>
              <w:rPr>
                <w:sz w:val="16"/>
                <w:szCs w:val="16"/>
                <w:color w:val="auto"/>
              </w:rPr>
            </w:pP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earnings margin</w:t>
            </w:r>
          </w:p>
        </w:tc>
        <w:tc>
          <w:tcPr>
            <w:tcW w:w="30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9.1 %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11.6 %</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w:t>
            </w:r>
            <w:r>
              <w:rPr>
                <w:rFonts w:ascii="Times New Roman" w:cs="Times New Roman" w:eastAsia="Times New Roman" w:hAnsi="Times New Roman"/>
                <w:sz w:val="18"/>
                <w:szCs w:val="18"/>
                <w:color w:val="auto"/>
                <w:vertAlign w:val="superscript"/>
              </w:rPr>
              <w:t>2</w:t>
            </w:r>
          </w:p>
        </w:tc>
        <w:tc>
          <w:tcPr>
            <w:tcW w:w="30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1.8 %</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operating earnings margin</w:t>
            </w:r>
          </w:p>
        </w:tc>
        <w:tc>
          <w:tcPr>
            <w:tcW w:w="30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12.0 %</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12.2 %</w:t>
            </w: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w:t>
            </w:r>
          </w:p>
        </w:tc>
        <w:tc>
          <w:tcPr>
            <w:tcW w:w="140" w:type="dxa"/>
            <w:vAlign w:val="bottom"/>
            <w:shd w:val="clear" w:color="auto" w:fill="CCEEFF"/>
          </w:tcPr>
          <w:p>
            <w:pPr>
              <w:spacing w:after="0"/>
              <w:rPr>
                <w:sz w:val="17"/>
                <w:szCs w:val="17"/>
                <w:color w:val="auto"/>
              </w:rPr>
            </w:pP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7"/>
                <w:szCs w:val="17"/>
                <w:color w:val="auto"/>
              </w:rPr>
            </w:pP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w:t>
            </w:r>
            <w:r>
              <w:rPr>
                <w:rFonts w:ascii="Times New Roman" w:cs="Times New Roman" w:eastAsia="Times New Roman" w:hAnsi="Times New Roman"/>
                <w:sz w:val="18"/>
                <w:szCs w:val="18"/>
                <w:color w:val="auto"/>
                <w:vertAlign w:val="superscript"/>
              </w:rPr>
              <w:t>2</w:t>
            </w:r>
          </w:p>
        </w:tc>
        <w:tc>
          <w:tcPr>
            <w:tcW w:w="30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r>
      <w:tr>
        <w:trPr>
          <w:trHeight w:val="19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earnings before income taxes</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510.4</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535.9</w:t>
            </w:r>
          </w:p>
        </w:tc>
        <w:tc>
          <w:tcPr>
            <w:tcW w:w="140" w:type="dxa"/>
            <w:vAlign w:val="bottom"/>
            <w:tcBorders>
              <w:bottom w:val="single" w:sz="8" w:color="auto"/>
            </w:tcBorders>
          </w:tcPr>
          <w:p>
            <w:pPr>
              <w:spacing w:after="0"/>
              <w:rPr>
                <w:sz w:val="16"/>
                <w:szCs w:val="16"/>
                <w:color w:val="auto"/>
              </w:rPr>
            </w:pP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40" w:type="dxa"/>
            <w:vAlign w:val="bottom"/>
            <w:shd w:val="clear" w:color="auto" w:fill="CCEEFF"/>
          </w:tcPr>
          <w:p>
            <w:pPr>
              <w:spacing w:after="0"/>
              <w:rPr>
                <w:sz w:val="17"/>
                <w:szCs w:val="17"/>
                <w:color w:val="auto"/>
              </w:rPr>
            </w:pP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7"/>
                <w:szCs w:val="17"/>
                <w:color w:val="auto"/>
              </w:rPr>
            </w:pP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w:t>
            </w:r>
            <w:r>
              <w:rPr>
                <w:rFonts w:ascii="Times New Roman" w:cs="Times New Roman" w:eastAsia="Times New Roman" w:hAnsi="Times New Roman"/>
                <w:sz w:val="18"/>
                <w:szCs w:val="18"/>
                <w:color w:val="auto"/>
                <w:vertAlign w:val="superscript"/>
              </w:rPr>
              <w:t>2</w:t>
            </w:r>
          </w:p>
        </w:tc>
        <w:tc>
          <w:tcPr>
            <w:tcW w:w="30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r>
      <w:tr>
        <w:trPr>
          <w:trHeight w:val="203"/>
        </w:trPr>
        <w:tc>
          <w:tcPr>
            <w:tcW w:w="542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3</w:t>
            </w:r>
          </w:p>
        </w:tc>
        <w:tc>
          <w:tcPr>
            <w:tcW w:w="30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tcBorders>
              <w:bottom w:val="single" w:sz="8" w:color="auto"/>
            </w:tcBorders>
          </w:tcPr>
          <w:p>
            <w:pPr>
              <w:spacing w:after="0"/>
              <w:rPr>
                <w:sz w:val="17"/>
                <w:szCs w:val="17"/>
                <w:color w:val="auto"/>
              </w:rPr>
            </w:pPr>
          </w:p>
        </w:tc>
      </w:tr>
      <w:tr>
        <w:trPr>
          <w:trHeight w:val="214"/>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income tax provision</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40" w:type="dxa"/>
            <w:vAlign w:val="bottom"/>
            <w:tcBorders>
              <w:bottom w:val="single" w:sz="8" w:color="auto"/>
            </w:tcBorders>
            <w:shd w:val="clear" w:color="auto" w:fill="CCEEFF"/>
          </w:tcPr>
          <w:p>
            <w:pPr>
              <w:spacing w:after="0"/>
              <w:rPr>
                <w:sz w:val="18"/>
                <w:szCs w:val="18"/>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542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140" w:type="dxa"/>
            <w:vAlign w:val="bottom"/>
            <w:shd w:val="clear" w:color="auto" w:fill="CCEEFF"/>
          </w:tcPr>
          <w:p>
            <w:pPr>
              <w:spacing w:after="0"/>
              <w:rPr>
                <w:sz w:val="17"/>
                <w:szCs w:val="17"/>
                <w:color w:val="auto"/>
              </w:rPr>
            </w:pP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40" w:type="dxa"/>
            <w:vAlign w:val="bottom"/>
          </w:tcPr>
          <w:p>
            <w:pPr>
              <w:spacing w:after="0"/>
              <w:rPr>
                <w:sz w:val="17"/>
                <w:szCs w:val="17"/>
                <w:color w:val="auto"/>
              </w:rPr>
            </w:pP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w:t>
            </w:r>
            <w:r>
              <w:rPr>
                <w:rFonts w:ascii="Times New Roman" w:cs="Times New Roman" w:eastAsia="Times New Roman" w:hAnsi="Times New Roman"/>
                <w:sz w:val="18"/>
                <w:szCs w:val="18"/>
                <w:color w:val="auto"/>
                <w:vertAlign w:val="superscript"/>
              </w:rPr>
              <w:t>2</w:t>
            </w:r>
          </w:p>
        </w:tc>
        <w:tc>
          <w:tcPr>
            <w:tcW w:w="30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r>
      <w:tr>
        <w:trPr>
          <w:trHeight w:val="203"/>
        </w:trPr>
        <w:tc>
          <w:tcPr>
            <w:tcW w:w="542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3</w:t>
            </w:r>
          </w:p>
        </w:tc>
        <w:tc>
          <w:tcPr>
            <w:tcW w:w="30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tcBorders>
              <w:bottom w:val="single" w:sz="8" w:color="auto"/>
            </w:tcBorders>
          </w:tcPr>
          <w:p>
            <w:pPr>
              <w:spacing w:after="0"/>
              <w:rPr>
                <w:sz w:val="17"/>
                <w:szCs w:val="17"/>
                <w:color w:val="auto"/>
              </w:rPr>
            </w:pPr>
          </w:p>
        </w:tc>
      </w:tr>
      <w:tr>
        <w:trPr>
          <w:trHeight w:val="215"/>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earnings</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w:t>
            </w:r>
          </w:p>
        </w:tc>
        <w:tc>
          <w:tcPr>
            <w:tcW w:w="140" w:type="dxa"/>
            <w:vAlign w:val="bottom"/>
            <w:tcBorders>
              <w:bottom w:val="single" w:sz="8" w:color="auto"/>
            </w:tcBorders>
            <w:shd w:val="clear" w:color="auto" w:fill="CCEEFF"/>
          </w:tcPr>
          <w:p>
            <w:pPr>
              <w:spacing w:after="0"/>
              <w:rPr>
                <w:sz w:val="18"/>
                <w:szCs w:val="18"/>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542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per diluted share</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40" w:type="dxa"/>
            <w:vAlign w:val="bottom"/>
            <w:shd w:val="clear" w:color="auto" w:fill="CCEEFF"/>
          </w:tcPr>
          <w:p>
            <w:pPr>
              <w:spacing w:after="0"/>
              <w:rPr>
                <w:sz w:val="17"/>
                <w:szCs w:val="17"/>
                <w:color w:val="auto"/>
              </w:rPr>
            </w:pP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40" w:type="dxa"/>
            <w:vAlign w:val="bottom"/>
          </w:tcPr>
          <w:p>
            <w:pPr>
              <w:spacing w:after="0"/>
              <w:rPr>
                <w:sz w:val="17"/>
                <w:szCs w:val="17"/>
                <w:color w:val="auto"/>
              </w:rPr>
            </w:pP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w:t>
            </w:r>
            <w:r>
              <w:rPr>
                <w:rFonts w:ascii="Times New Roman" w:cs="Times New Roman" w:eastAsia="Times New Roman" w:hAnsi="Times New Roman"/>
                <w:sz w:val="18"/>
                <w:szCs w:val="18"/>
                <w:color w:val="auto"/>
                <w:vertAlign w:val="superscript"/>
              </w:rPr>
              <w:t>2</w:t>
            </w:r>
          </w:p>
        </w:tc>
        <w:tc>
          <w:tcPr>
            <w:tcW w:w="30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r>
      <w:tr>
        <w:trPr>
          <w:trHeight w:val="203"/>
        </w:trPr>
        <w:tc>
          <w:tcPr>
            <w:tcW w:w="542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3</w:t>
            </w:r>
          </w:p>
        </w:tc>
        <w:tc>
          <w:tcPr>
            <w:tcW w:w="30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40" w:type="dxa"/>
            <w:vAlign w:val="bottom"/>
            <w:tcBorders>
              <w:bottom w:val="single" w:sz="8" w:color="auto"/>
            </w:tcBorders>
          </w:tcPr>
          <w:p>
            <w:pPr>
              <w:spacing w:after="0"/>
              <w:rPr>
                <w:sz w:val="17"/>
                <w:szCs w:val="17"/>
                <w:color w:val="auto"/>
              </w:rPr>
            </w:pPr>
          </w:p>
        </w:tc>
      </w:tr>
      <w:tr>
        <w:trPr>
          <w:trHeight w:val="215"/>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earnings per diluted share</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40" w:type="dxa"/>
            <w:vAlign w:val="bottom"/>
            <w:tcBorders>
              <w:bottom w:val="single" w:sz="8" w:color="auto"/>
            </w:tcBorders>
            <w:shd w:val="clear" w:color="auto" w:fill="CCEEFF"/>
          </w:tcPr>
          <w:p>
            <w:pPr>
              <w:spacing w:after="0"/>
              <w:rPr>
                <w:sz w:val="18"/>
                <w:szCs w:val="18"/>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8"/>
        </w:trPr>
        <w:tc>
          <w:tcPr>
            <w:tcW w:w="542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30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16.3 %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18.3 %</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5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w:t>
            </w:r>
            <w:r>
              <w:rPr>
                <w:rFonts w:ascii="Times New Roman" w:cs="Times New Roman" w:eastAsia="Times New Roman" w:hAnsi="Times New Roman"/>
                <w:sz w:val="18"/>
                <w:szCs w:val="18"/>
                <w:color w:val="auto"/>
                <w:vertAlign w:val="superscript"/>
              </w:rPr>
              <w:t>2</w:t>
            </w:r>
          </w:p>
        </w:tc>
        <w:tc>
          <w:tcPr>
            <w:tcW w:w="30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1.4 %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3"/>
        </w:trPr>
        <w:tc>
          <w:tcPr>
            <w:tcW w:w="542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3</w:t>
            </w:r>
          </w:p>
        </w:tc>
        <w:tc>
          <w:tcPr>
            <w:tcW w:w="30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0.1 %</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0.7 %</w:t>
            </w:r>
          </w:p>
        </w:tc>
      </w:tr>
      <w:tr>
        <w:trPr>
          <w:trHeight w:val="215"/>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effective tax rate</w:t>
            </w:r>
          </w:p>
        </w:tc>
        <w:tc>
          <w:tcPr>
            <w:tcW w:w="30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17.8 %</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18.8 %</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left="180" w:hanging="172"/>
        <w:spacing w:after="0" w:line="275" w:lineRule="auto"/>
        <w:tabs>
          <w:tab w:leader="none" w:pos="199"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the first quarter of fiscal 2024, we launched a significant productivity initiative named AMP, as discussed in more detail under the heading "Company Overview-AMP Initiative" in this section. We considered the nature, frequency, and scale of this initiative compared to our prior productivity initiatives when determining that the expenses associated with AMP, unlike our prior productivity initiatives, are not common, normal, recurring operating expenses and are not representative of our ongoing business operations. Productivity initiative charges for the fiscal years ended October 31, 2025 and 2024 primarily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represent facility exit costs, severance and termination benefits, compensation for fully-dedicated AMP personnel, third-party consulting costs, and product-line exit costs.</w:t>
      </w:r>
    </w:p>
    <w:p>
      <w:pPr>
        <w:spacing w:after="0" w:line="123" w:lineRule="exact"/>
        <w:rPr>
          <w:sz w:val="20"/>
          <w:szCs w:val="20"/>
          <w:color w:val="auto"/>
        </w:rPr>
      </w:pPr>
    </w:p>
    <w:p>
      <w:pPr>
        <w:ind w:left="180" w:hanging="172"/>
        <w:spacing w:after="0" w:line="230" w:lineRule="auto"/>
        <w:tabs>
          <w:tab w:leader="none" w:pos="172"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At the end of the third quarter of fiscal 2025, the company recorded a non-cash impairment charge within Other activities related to the Spartan trade name, as discussed in more detail under the heading "Company Overview-Impairment of Spartan Trade Name" in this section.</w:t>
      </w:r>
    </w:p>
    <w:p>
      <w:pPr>
        <w:spacing w:after="0" w:line="82" w:lineRule="exact"/>
        <w:rPr>
          <w:sz w:val="20"/>
          <w:szCs w:val="20"/>
          <w:color w:val="auto"/>
        </w:rPr>
      </w:pPr>
    </w:p>
    <w:p>
      <w:pPr>
        <w:jc w:val="both"/>
        <w:ind w:left="180" w:hanging="172"/>
        <w:spacing w:after="0" w:line="275" w:lineRule="auto"/>
        <w:tabs>
          <w:tab w:leader="none" w:pos="28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fiscal years ended October 31, 2025 and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Liquidity Measures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as net cash provided by operating activities less purchases of property, plant, and equipment, net of proceeds from insurance claim. Free cash flow conversion percentage represents free cash flow as a percentage of net earnings, excluding the non-cash impairment charge.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Consolidated Balance Sheets, after reinvesting in necessary capital expenditures required to maintain and grow our business.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free cash flow and free cash flow conversion percentage to net cash provided by operating activities, which is the most directly comparable financial measure calculated and reported in accordance with U.S. GAAP for the fiscal years ended October 31, 2025 and October 31, 2024 (dollars in millions, except percentage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6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0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662.0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569.9</w:t>
            </w:r>
          </w:p>
        </w:tc>
      </w:tr>
      <w:tr>
        <w:trPr>
          <w:trHeight w:val="196"/>
        </w:trPr>
        <w:tc>
          <w:tcPr>
            <w:tcW w:w="6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Less: Purchases of property, plant, and equipment, net of proceeds from insurance claim</w:t>
            </w:r>
          </w:p>
        </w:tc>
        <w:tc>
          <w:tcPr>
            <w:tcW w:w="16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83.7</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99.2</w:t>
            </w:r>
          </w:p>
        </w:tc>
      </w:tr>
      <w:tr>
        <w:trPr>
          <w:trHeight w:val="203"/>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Free cash flow</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578.3</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470.7</w:t>
            </w:r>
          </w:p>
        </w:tc>
      </w:tr>
      <w:tr>
        <w:trPr>
          <w:trHeight w:val="196"/>
        </w:trPr>
        <w:tc>
          <w:tcPr>
            <w:tcW w:w="6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Net earnings, excluding the non-cash impairment charge of $81.1 million</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397.2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418.9</w:t>
            </w:r>
          </w:p>
        </w:tc>
      </w:tr>
      <w:tr>
        <w:trPr>
          <w:trHeight w:val="221"/>
        </w:trPr>
        <w:tc>
          <w:tcPr>
            <w:tcW w:w="67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Free cash flow conversion percentage</w:t>
            </w:r>
          </w:p>
        </w:tc>
        <w:tc>
          <w:tcPr>
            <w:tcW w:w="16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145.6 %</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112.4 %</w:t>
            </w: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preparing our Consolidated Financial Statements in conformity with U.S.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 based on our understanding and analysis of the relevant circumstances, historical experience, and actuarial and other independent external third-party specialist valuations, when applicable. As a result, actual amounts could differ from those estimated at the time the Consolidated Financial Statements are prepared.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and susceptible to change at the time the accounting estimate is made and different estimates reasonably could have been used and (ii) changes in the estimate may have a material impact on the presentation of our financial condition or results of operations. Our critical accounting policies and estimates include the following: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Promotions and Incentives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revenues based on the transaction price of the good or service sold to our customers, which is measured as the amount of consideration we expect to receive in exchange for transferring product or rendering services pursuant to the terms of the contract with a customer. The amount of consideration we receive and the revenue we recognize varies with changes in the variable consideration associated with the estimated expense of certain of our sales promotions and incentives programs offered to customers that are determined to represent price concessions. The estimated expense of each sales promotion and incentive program is classified and recorded as a reduction from gross sales or as a component of SG&amp;A expense within the Consolidated Statements of Earnings when revenue is recognized, depending on the nature of the respective program. Generally, the cost of a program is recorded as a reduction from gross sales when revenue is recognized and thus is considered to be variable consideration if the expense is determined to represent a price concession because the program either: (i) results in an immediate reduction of the transaction price with no anticipated future costs or consideration to be provided to the customer or (ii) we anticipate a future cost based on historical or expected future business practice for which we do not receive a distinct good or service in exchange for the future consideration provided to the customer under the program. In other circumstances, the anticipated future cost of a program based on historical or expected future business practice is recorded as SG&amp;A expense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we receive a distinct good or service in exchange for the future consideration provided to the customer under the program.</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considered to be variable consideration because the cost of the program is classified as a reduction from gross sales are as follows:</w:t>
      </w:r>
    </w:p>
    <w:p>
      <w:pPr>
        <w:spacing w:after="0" w:line="50" w:lineRule="exact"/>
        <w:rPr>
          <w:sz w:val="20"/>
          <w:szCs w:val="20"/>
          <w:color w:val="auto"/>
        </w:rPr>
      </w:pPr>
    </w:p>
    <w:p>
      <w:pPr>
        <w:ind w:left="340" w:hanging="332"/>
        <w:spacing w:after="0" w:line="263" w:lineRule="auto"/>
        <w:tabs>
          <w:tab w:leader="none" w:pos="33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Off-Invoice Discounts: </w:t>
      </w:r>
      <w:r>
        <w:rPr>
          <w:rFonts w:ascii="Times New Roman" w:cs="Times New Roman" w:eastAsia="Times New Roman" w:hAnsi="Times New Roman"/>
          <w:sz w:val="18"/>
          <w:szCs w:val="18"/>
          <w:color w:val="auto"/>
        </w:rPr>
        <w:t>Our off-invoice discounts represent an immediate reduction in the selling price of our products that is realized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with no anticipated future cost or consideration provided to the customer.</w:t>
      </w:r>
    </w:p>
    <w:p>
      <w:pPr>
        <w:jc w:val="both"/>
        <w:ind w:left="340" w:hanging="332"/>
        <w:spacing w:after="0" w:line="250" w:lineRule="auto"/>
        <w:tabs>
          <w:tab w:leader="none" w:pos="33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Rebate Programs: </w:t>
      </w:r>
      <w:r>
        <w:rPr>
          <w:rFonts w:ascii="Times New Roman" w:cs="Times New Roman" w:eastAsia="Times New Roman" w:hAnsi="Times New Roman"/>
          <w:sz w:val="18"/>
          <w:szCs w:val="18"/>
          <w:color w:val="auto"/>
        </w:rPr>
        <w:t>Our rebate programs are generally based on claims submitted from either our direct customers or end-users of our products or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our purchase or retail sales goals for our direct customers of certain quantities or mixes of product during a specified time period, depending upon the program. The amount of the rebate varies based on the specific program and is either a dollar amount or a percentage of the purchase price and can also be based on actual retail price as compared to our selling price. Consideration is typically provided to our customers for our rebate programs after the initial sale of our products to our direct customers and thus, there is generally an anticipated future cost at the time revenue is recognized based on historical and expected future business practice.</w:t>
      </w:r>
    </w:p>
    <w:p>
      <w:pPr>
        <w:spacing w:after="0" w:line="2" w:lineRule="exact"/>
        <w:rPr>
          <w:rFonts w:ascii="Times New Roman" w:cs="Times New Roman" w:eastAsia="Times New Roman" w:hAnsi="Times New Roman"/>
          <w:sz w:val="18"/>
          <w:szCs w:val="18"/>
          <w:b w:val="1"/>
          <w:bCs w:val="1"/>
          <w:color w:val="auto"/>
        </w:rPr>
      </w:pPr>
    </w:p>
    <w:p>
      <w:pPr>
        <w:jc w:val="both"/>
        <w:ind w:left="340" w:hanging="332"/>
        <w:spacing w:after="0" w:line="253" w:lineRule="auto"/>
        <w:tabs>
          <w:tab w:leader="none" w:pos="33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Financing Programs: </w:t>
      </w:r>
      <w:r>
        <w:rPr>
          <w:rFonts w:ascii="Times New Roman" w:cs="Times New Roman" w:eastAsia="Times New Roman" w:hAnsi="Times New Roman"/>
          <w:sz w:val="18"/>
          <w:szCs w:val="18"/>
          <w:color w:val="auto"/>
        </w:rPr>
        <w:t>Our financing programs consist of inventory financing arrangements with financial institutions and end-user financing.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for inventory financing arrangements represent dealer and distributor financing costs shared by the company for a pre-established length of time based on a predefined rate from the contract between the company and the financial institution to finance dealer and distributor inventory purchases. End-user financing is offered to end-user customers under which we, at our discretion, may pay a portion of interest costs on behalf of end-users for financing purchases of our equipment.</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not considered to be variable consideration because the cost of the program is classified as a component of SG&amp;A expense are as follows:</w:t>
      </w:r>
    </w:p>
    <w:p>
      <w:pPr>
        <w:spacing w:after="0" w:line="50" w:lineRule="exact"/>
        <w:rPr>
          <w:sz w:val="20"/>
          <w:szCs w:val="20"/>
          <w:color w:val="auto"/>
        </w:rPr>
      </w:pPr>
    </w:p>
    <w:p>
      <w:pPr>
        <w:jc w:val="both"/>
        <w:ind w:left="340" w:hanging="332"/>
        <w:spacing w:after="0" w:line="254" w:lineRule="auto"/>
        <w:tabs>
          <w:tab w:leader="none" w:pos="33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Commissions Paid to Distributors and Dealers</w:t>
      </w:r>
      <w:r>
        <w:rPr>
          <w:rFonts w:ascii="Times New Roman" w:cs="Times New Roman" w:eastAsia="Times New Roman" w:hAnsi="Times New Roman"/>
          <w:sz w:val="18"/>
          <w:szCs w:val="18"/>
          <w:color w:val="auto"/>
        </w:rPr>
        <w:t>: For certain products, we use a distribution network of distributors and dealers that purchase and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of products for sale to the end customer. We also have dealers and distributors that act as sales agents for us on certain products using a direct-selling type model. Under this direct-selling type model, our network of distributors and dealers facilitates a sale directly to the dealer or end-user customer on our behalf. Commissions to distributors and dealers in these instances represent commission payments to sales agents that are also our customers. In addition, TTC dealers are often paid a commission to set up and deliver riding product purchased at certain mass retailers and home centers.</w:t>
      </w:r>
    </w:p>
    <w:p>
      <w:pPr>
        <w:spacing w:after="0" w:line="3"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3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Cooperative Advertising: </w:t>
      </w:r>
      <w:r>
        <w:rPr>
          <w:rFonts w:ascii="Times New Roman" w:cs="Times New Roman" w:eastAsia="Times New Roman" w:hAnsi="Times New Roman"/>
          <w:sz w:val="18"/>
          <w:szCs w:val="18"/>
          <w:color w:val="auto"/>
        </w:rPr>
        <w:t>Cooperative advertising programs are based on advertising costs incurred by distributors and dealers for promoting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We support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Regardless of classification of the cost of the sales promotion and incentive program within the Consolidated Statements of Earnings, we record an accrual within the Consolidated Balance Sheets for the estimated future expense of certain of our sales promotion and incentive programs for which we anticipate a future cost based on historical or expected future business practice by using the expected value method and applying the portfolio approach practical expedient under the accounting standards codification guidance for revenue from contracts with customers. Under such approach, our determination of variable consideration associated with the estimated expense of certain of our sales promotions and incentives programs is primarily based on the terms of the sales arrangements and sales promotion and incentive programs with customers, historical payment and rebate claims experience, field inventory levels, quantity or mix of products purchased, projected sales volumes, types of programs offered, and expectations for the acceptance of sales promotion and incentive programs offered in the future or changes in other relevant trends.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our sales promotion and incentive programs that are considered to be variable consideration, our off-invoice discounts and financing programs are less subject to complex judgment or estimates as compared to our rebate programs, which are subject to a more significant level of estimation uncertainty as they require inputs and assumptions that are more susceptible to change or subjectivity. Specifically, our rebate programs are primarily sensitive to fluctuations in historical payment and rebate claims experience as compared to actual realized payment and rebate claims, field inventory levels, and projected wholesale and retail sales volumes and the quantity or mix of products.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Adjustments to sales promotions and incentive accruals are made from time to time as actual usage becomes known in order to properly estimate the amounts necessary to generate consumer demand based on market conditions as of the balance sheet date. As of October 31, 2025, we had recorded an accrual for sales promotion and incentive programs of $168.6 million within the Consolidated Balance Sheets. We believe that our accrual for sales promotion and incentive programs is adequate as of October 31, 2025 and historically has been adequate; however, due to the inherent uncertainty in the accrual estimation process, actual results may differ from these estimates if competitive factors dictate the need to enhance or modify sales promotion and incentive programs or if customer usage, product mix, or field inventory levels vary from historical trends.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Goodwill is initially recognized as a result of the excess of purchase consideration transferred over the estimated fair value of the net assets acquired in a business combination. As of October 31, 2025, our goodwill balance was $450.9 million. Goodwill is not amortized, but is assessed for impairment at the reporting unit level at least annually during the fourth quarter of each fiscal year unless events or changes in circumstances indicate that impairment may have occurred prior to the annual assessment. Based on a change made to our operating segments during the fourth quarter of fiscal 2025, as discussed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of the Notes to Consolidated Financial Statements, we have eight operating segments. The company tested goodwill of the new reporting units for impairment both before and following the change in reporting unit structure, and no impairment was identified. Seven of our reporting units contained goodwill on their respective balance sheets as of October 31, 2025.</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2025, consistent with prior fiscal years, we performed our annual quantitative goodwill impairment assessment, which is a one-step process. In performing the quantitative analysis, we compare the carrying value of a reporting unit, including goodwill, to its fair value. If the fair value of the reporting unit exceeds its carrying value, goodwill of the reporting unit is not impaired. If the carrying value of a reporting unit exceeds its fair value, an impairment charge would be recognized for the amount by which the carrying value of the reporting unit exceeds its fair value, not to exceed the total amount of goodwill allocated to that reporting unit. Based on the fourth quarter annual quantitative goodwill impairment analysis, we determined there was no impairment of goodwill for any of our reporting units as the fair value of each reporting unit exceeded its respective carrying value, including goodwill. Further, the fair value of each reporting unit exceeded its respective carrying value, including goodwill, in excess of 11 percent.</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each reporting unit under the quantitative goodwill impairment test was determined using a discounted cash flow model under the income approach which requires the use of significant judgment regarding the selection of various inputs and assumptions, including projected operating results and growth rates from the company's projection process, applicable tax rates, estimated capital expenditures and depreciation, estimated changes in working capital, terminal growth rates applied to projected operating results in the terminal period, and a weighted-average cost of capital ("WACC") rate. Actual future results may differ significantly from the assumptions used in our valuations resulting in future impairment losses and such losses could be material. As such estimates are sensitive to changes in the underlying inputs and assumptions, we performed sensitivity analyses to address this risk. The WACC rate could be increased by 95 basis points with no impairment indicated for any of our reporting units. Additionally, the terminal growth rate could be decreased by 135 basis points with no impairment indicated for any of our reporting units.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inputs and assumptions, which are independently determined and vary for each reporting unit, are based on historical experience, our projections of future operating results and contemplate current and future business, industry, and economic conditions, as well as relevant observable market inputs and consideration of risk regarding future performance for purposes of determining the WACC and terminal growth rates. The WACC rate selected is commensurate with the risks and uncertainty inherent in the respective reporting unit and in our projected operating results and is calculated based on weighted average returns on debt and equity from guideline public companies. Therefore, changes in the market that are beyond our control and that impact our guideline public companies may have an adverse effect on our future calculations of the estimated fair values of our reporting units. Terminal growth rates are generally determined based on economic and industry growth expectations, while also considering the lifecycle stage of each respective reporting unit. Where available, and as appropriate, comparable EBITDA and revenue multiples are derived from the market prices of stocks of guideline public companies and are used to assist in developing an estimated business enterprise value of our reporting units under the market approach to corroborate our determination of the estimated fair values of our reporting units under the income approach. Identifying appropriate guideline public companies for purposes of computing estimated market multiples and selecting an appropriate WACC rate is subjective. We select guideline public companies that are engaged in the same or similar lines of business and that have reasonably similar qualitative factors as our reporting units, while also considering relevant quantitative factors such as profitability and market capitalization, where applicable. As a final corroboratory step, we reconcile the aggregate estimated fair value of our reporting units resulting from the income approach to our company's market capitalization.</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annual impairment assessment performed in the fourth quarter of fiscal 2025 supported the carrying amount of our goodwill, we may be required to re-evaluate the carrying amounts in future periods utilizing different inputs and assumptions that reflect the then current market conditions and expectations regarding our operating performance, which may result in a future impairment that could be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Indefinite-lived intangible assets are initially recognized at their estimated fair values as a result of a business combination or asset acquisition. As of October 31, 2025, our indefinite-lived intangible asset balances, which consist of certain trade names,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were $190.6 million. Indefinite-lived intangible assets are not amortized, but are assessed for impairment at least annually during the fourth quarter of each fiscal year unless events or changes in circumstances indicate that impairment may have occurred prior to the annual assessment. We assess indefinite-lived intangible assets for impairment at the individual indefinite-lived intangible asset.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2025 Impairment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preparation of the financial statements for the third quarter of fiscal 2025, we concluded that impairment indicators existed for our indefinite-lived Spartan trade name intangible asset. Based on the resulting impairment assessment performed, we recorded an impairment charge of $81.1 million related to the indefinite-lived Spartan trade name intangible asset in the third quarter of fiscal 2025. For additional information regarding the impairment charge, refer to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of the Notes to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Impairment Analysis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2025, consistent with prior fiscal years, we performed our annual quantitative impairment assessment for indefinite-lived intangible assets by comparing the carrying amounts of each respective asset to its estimated fair value. If the fair value of the indefinite-lived intangible asset is less than its carrying value, an impairment loss is recognized in an amount equal to the excess. Based on our fourth quarter quantitative impairment analysis, we determined that our indefinite-lived intangible assets were not impaired as the estimated fair value of each of our indefinite-lived intangible assets exceeded its carrying value. Further, the fair value of each of our indefinite-lived intangible assets exceeded its carrying value in excess of 14 percent.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was determined using the relief-from-royalty method under the income approach which requires the use of significant judgment regarding the selection of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These inputs and assumptions contemplate business, industry, and overall economic conditions, as well as relevant market data for royalty rates of similar intangible assets. Actual future results may differ significantly from the assumptions used in our valuations resulting in future impairment losses and such losses could be material. As such estimates are sensitive to changes in the underlying inputs and assumptions, we performed sensitivity analyses to address this risk. The discount rate could be increased by 170 basis points with no impairment indicated for any of our indefinite-lived intangible assets. The royalty rate could be decreased by 35 basis points with no impairment indicated for any of our indefinite-lived intangible assets.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Determining the estimated fair values of our reporting units and indefinite-lived intangible assets requires considerable judgment and such estimates are sensitive to changes in the underlying inputs and assumptions. As a result, there can be no assurance that the inputs and assumptions made for purposes of our annual impairment assessments will prove to be an accurate prediction of the future. Certain events or circumstances that could reasonably be expected may negatively affect the underlying key inputs and assumptions and ultimately affect the estimated fair values of our reporting units and indefinite-lived intangible assets. Such events or circumstances could include a decrease in expected future operating results and the related cash flows; adverse economic, market, and industry conditions, including unfavorable impacts on our guideline public companies used in determining our WACC rate and the business enterprise value of our reporting units under the market approach; prolonged periods of unfavorable weather conditions; changes in regulatory conditions impacting our products and industries; a continued volatile supply chain environment and/or additional increases in the costs of commodities, component parts, and labor; lack of customer acceptance of new or innovative technologies; increased competition; and other factors.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annual impairment assessment performed in the fourth quarter of fiscal 2025 supported the carrying amount of our indefinite-lived intangible assets, we may be required to re-evaluate the carrying amounts in future periods utilizing different inputs and assumptions that reflect the then current market conditions and expectations regarding our operating performance, which may result in a future impairment that could be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Warranty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warranted to provide assurance that the product will function as expected and to ensure customer confidence in design, workmanship, and overall quality. Warranty coverage on our products is generally provided for specified periods of time and on select products' hours of usage, and generally covers parts, labor, and other expenses for non-maintenance repairs. Warranty coverage generally does not cover operator abuse or improper use. In addition to the standard warranties offered on our products, we also sell separately priced extended warranty coverage on select products for a prescribed period after the original warranty period expires.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time of sale, we recognize expense and record a warranty accrual by product line for estimated costs in connection with projected future warranty claims. Our estimate of the cost of future warranty claims is based primarily on the estimated number of products under warranty, historical average costs incurred to service warranty claims, the trend in the historical ratio of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warranty claims to sales, and the historical length of time between the sale and resulting warranty claim. If applicable, historical claims experience may be adjusted for known product design improvements or for the impact of unusual product quality issues. We periodically assess the adequacy of our warranty accruals based on changes in our estimates and assumptions and record any necessary adjustments if the cost of actual claim experience differs from our estimate and indicates that adjustments to our warranty accrual are necessary. Factors that could have an impact on actual future claims and our warranty accrual include, but are not limited to, items such as performance of new products; product failure rates; factors impacting product usage, such as weather; changes in sales volumes and shifts in product mix; manufacturing quality and product design issues, including significant manufacturing or design defects not discovered until after the product is delivered to customers; the extent of customers affected by the product failure; higher or lower than expected service and component part costs to satisfactorily address the repair, and upon rare occasion, changes to the warranty coverage periods. Additionally, from time to time, we also establish warranty accruals for our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analysis of historical warranty claim trends and knowledge of potential manufacturing and/or product design improvements or issues provide sufficient information to establish a reasonable estimate for the cost of future warranty claims at the time of sale and our warranty accruals as of the date of our Consolidated Balance Sheets. We believe that our $152.2 million warranty accrual as of October 31, 2025 is adequate and historically has been adequate; however, due to the inherent uncertainty in the accrual estimation process, including projecting future warranty claims, costs associated with servicing future warranty claims, and unexpected major rework campaigns that may arise in the future, our actual warranty costs incurred may differ from our warranty accrual estimate. An unexpected increase in warranty claims and/or in the costs associated with servicing those claims would result in an increase in our warranty accruals and a decrease in our net earnings.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Valuation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half of our inventories are valued at the lower of the cost of inventory or net realizable value, with cost determined by either the first-in, first-out or average cost method. Other inventories are valued at the lower of cost or market, with cost determined under the last-in, first-out method. As needed, we record an inventory valuation adjustment for excess, slow moving, and obsolete inventory that is equal to the excess of the cost of the inventory over the estimated net realizable value or market value for the inventory depending on inventory costing method. The inventory valuation adjustment to net realizable value or market value establishes a new cost basis of the inventory that cannot be subsequently reversed. Such inventory valuation adjustments for excess, obsolete, and slow moving inventory are not reduced or removed until the product is sold or disposed of.</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developing inventory valuation adjustments for excess, slow moving, and obsolete inventory, we are required to use judgment and make estimates of future sales demand and production requirements compared with current inventory levels. Our estimate of projected sales demand and production requirements is primarily based on actual orders received, historical demand, technological and product life cycle changes, product pricing, economic trends, and competitive factors, such as market and pricing trends for similar products. Although we believe our inventory valuation reserve for excess, slow-moving, and obsolete inventory is adequate at $60.5 million as of October 31, 2025, projecting sales demand and production requirements involves significant management judgment regarding future events. Future events that could significantly influence our judgments and related estimates include general economic conditions within the specific markets in which we operate, changes in demand for our products and customer preference, price fluctuations, and actions of our competitors, including the introduction of new products, technological advances, and pricing changes. Projected sales demand and production requirements can also be affected by the significant redesign of our existing products or the replacement of an existing product by an entirely new generation of product. It is possible that an unfavorable adjustment to our inventory valuation reserve for excess, slow moving, and obsolete inventory may be required in the future if there is a change in any of the aforementioned factors that adversely impacts our estimates of future demand for our products and we do not modify our purchases or production schedule accordingly.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applicable, we account for the acquisition of a business in accordance with the accounting standards codification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Assigning estimated fair values to the net assets acquired requires the use of significant estimates, judgments, inputs, and assumptions regarding the fair value of intangible assets that are separately identifiable from goodwill, inventory, and property,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plant, and equipment. While the ultimate responsibility for determining estimated fair values of the acquired net assets resides with management, for material acquisitions we may retain the services of certified valuation specialists to assist with assigning estimated fair values to certain acquired assets and assumed liabilities, including intangible assets that are separately identifiable from goodwill, inventory, and property, plant, and equipment. Estimated fair values of acquired intangible assets that are separately identifiable from goodwill, inventory, and property, plant, and equipment are generally based on available historical information, future expectations, available market data, and assumptions determined to be reasonable but are inherently uncertain with respect to future events, including economic conditions, competition, technological obsolescence, the useful life of the acquired assets, and other factors. These significant estimates, judgments, inputs, and assumptions include, when applicable, the selection of an appropriate valuation method depending on the nature of the respective asset, such as the income approach, the market or sales comparison approach, or the cost approach; estimating future cash flows based on projected revenues and/or margins that we expect to generate subsequent to the acquisition; applying an appropriate discount rate to estimate the present value of those projected cash flows we expect to generate; selecting an appropriate terminal growth rate and/or royalty rate or estimating a customer attrition or technological obsolescence factor where necessary and appropriate given the nature of the respective asset; assigning an appropriate contributory asset charge where needed; determining an appropriate useful life and the related depreciation or amortization method for the respective asset; and assessing the accuracy and completeness of other historical financial metrics of the acquiree used as standalone inputs or as the basis for determining estimated projected inputs such as margins, customer attrition, and costs to hold and sell product.</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determining the estimated fair value of intangible assets that are separately identifiable from goodwill, we typically utilize the income approach, which discounts the projected future cash flows using a discount rate that appropriately reflects the risks associated with the projected cash flows. Generally, we estimate the fair value of acquired trade names using the relief from royalty method under the income approach, which is based on the hypothetical royalty stream that would be received if we were to license the acquired trade name. For most other acquired intangible assets, we estimate fair value using the excess earnings method under the income approach, which is typically applied when cash flows are not directly generated by the asset, but rather, by an operating group that includes the particular asset. In certain instances, particularly in relation to developed technology or patents, we may utilize the cost approach depending on the nature of the respective intangible asset and the recency of the development or procurement of such technology. The useful lives and amortization methods for the acquired intangible assets that are separately identifiable from goodwill are generally determined based on the period of expected cash flows used to measure the fair value of the acquired intangible assets and the nature of the use of the respective acquired intangible asset, adjusted as appropriate for entity-specific factors including legal, regulatory, contractual, competitive, economic, and/or other factors such as customer attrition rates and product or order lifecycles that may limit the useful life of the respective acquired intangible asset. In determining the estimated fair value of acquired inventory, we typically utilize the cost approach for raw materials and the sales comparison approach for work in process, finished goods, and service parts. In determining the estimated fair value of acquired property, plant, and equipment, we typically utilize the sales comparison approach or the cost approach depending on the nature of the respective asset and the recency of the construction or procurement of such asset.</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refine the estimated fair values of assets acquired and liabilities assumed, if necessary, over a period not to exceed one year from the date of acquisition by taking into consideration new information about facts and circumstances that existed as of the acquisition date that, if known as of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an acquisition through depreciation and amortization, and in certain instances through impairment charges, if the asset becomes impaired in the future. During the measurement period, any purchase price allocation changes that impact the carrying value of goodwill will affect any measurement of goodwill impairment taken during the measurement period, if applicable. If necessary, purchase price allocation revisions that occur outside of the measurement period are recorded within cost of sales or selling, general and administrative expense within the Consolidated Statements of Earnings depending on the nature of the adjustment.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recent accounting pronouncements, refer to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in our Notes to Consolidated Financial Statements under the section entitled "New Accounting Pronouncements".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See further discussion on these market risks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To reduce our exposure to foreign currency exchange rate risk, we actively manage the exposure of our foreign currency exchange rate risk by entering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13,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and Hedging Activities</w:t>
      </w:r>
      <w:r>
        <w:rPr>
          <w:rFonts w:ascii="Times New Roman" w:cs="Times New Roman" w:eastAsia="Times New Roman" w:hAnsi="Times New Roman"/>
          <w:sz w:val="18"/>
          <w:szCs w:val="18"/>
          <w:color w:val="auto"/>
        </w:rPr>
        <w:t>, in the Notes to Consolidated Financial Statements included in Part II, Item 8,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Supplementary Data," of this Annual Report on Form 10-K.</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foreign currency exchange contracts in the table below have maturity dates in fiscal 2026 through fiscal 2028. All items are non-trading and stated in U.S. dollars. As of October 31, 2025, the average contracted rate, notional amount, fair value, and the gain (loss) at fair value of outstanding derivative instruments were as follows (dollars in millions, except average contracted rate):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40" w:type="dxa"/>
            <w:vAlign w:val="bottom"/>
            <w:tcBorders>
              <w:top w:val="single" w:sz="8" w:color="auto"/>
            </w:tcBorders>
          </w:tcPr>
          <w:p>
            <w:pPr>
              <w:spacing w:after="0"/>
              <w:rPr>
                <w:sz w:val="13"/>
                <w:szCs w:val="13"/>
                <w:color w:val="auto"/>
              </w:rPr>
            </w:pPr>
          </w:p>
        </w:tc>
        <w:tc>
          <w:tcPr>
            <w:tcW w:w="3080" w:type="dxa"/>
            <w:vAlign w:val="bottom"/>
            <w:tcBorders>
              <w:top w:val="single" w:sz="8" w:color="auto"/>
            </w:tcBorders>
          </w:tcPr>
          <w:p>
            <w:pPr>
              <w:jc w:val="right"/>
              <w:ind w:right="28"/>
              <w:spacing w:after="0" w:line="151" w:lineRule="exact"/>
              <w:rPr>
                <w:sz w:val="20"/>
                <w:szCs w:val="20"/>
                <w:color w:val="auto"/>
              </w:rPr>
            </w:pPr>
            <w:r>
              <w:rPr>
                <w:rFonts w:ascii="Times New Roman" w:cs="Times New Roman" w:eastAsia="Times New Roman" w:hAnsi="Times New Roman"/>
                <w:sz w:val="14"/>
                <w:szCs w:val="14"/>
                <w:b w:val="1"/>
                <w:bCs w:val="1"/>
                <w:color w:val="auto"/>
              </w:rPr>
              <w:t>Average Contracted</w:t>
            </w: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tcBorders>
              <w:top w:val="single" w:sz="8" w:color="auto"/>
            </w:tcBorders>
            <w:gridSpan w:val="2"/>
          </w:tcPr>
          <w:p>
            <w:pPr>
              <w:jc w:val="center"/>
              <w:ind w:left="8"/>
              <w:spacing w:after="0" w:line="151" w:lineRule="exact"/>
              <w:rPr>
                <w:sz w:val="20"/>
                <w:szCs w:val="20"/>
                <w:color w:val="auto"/>
              </w:rPr>
            </w:pPr>
            <w:r>
              <w:rPr>
                <w:rFonts w:ascii="Times New Roman" w:cs="Times New Roman" w:eastAsia="Times New Roman" w:hAnsi="Times New Roman"/>
                <w:sz w:val="14"/>
                <w:szCs w:val="14"/>
                <w:b w:val="1"/>
                <w:bCs w:val="1"/>
                <w:color w:val="auto"/>
              </w:rPr>
              <w:t>Gain (Loss) at Fair</w:t>
            </w:r>
          </w:p>
        </w:tc>
        <w:tc>
          <w:tcPr>
            <w:tcW w:w="0" w:type="dxa"/>
            <w:vAlign w:val="bottom"/>
          </w:tcPr>
          <w:p>
            <w:pPr>
              <w:spacing w:after="0"/>
              <w:rPr>
                <w:sz w:val="1"/>
                <w:szCs w:val="1"/>
                <w:color w:val="auto"/>
              </w:rPr>
            </w:pPr>
          </w:p>
        </w:tc>
      </w:tr>
      <w:tr>
        <w:trPr>
          <w:trHeight w:val="195"/>
        </w:trPr>
        <w:tc>
          <w:tcPr>
            <w:tcW w:w="39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Rate</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 dollar/Sell Australian dollar</w:t>
            </w:r>
          </w:p>
        </w:tc>
        <w:tc>
          <w:tcPr>
            <w:tcW w:w="3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0.6535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93.1</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93.0</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center"/>
              <w:ind w:left="62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U.S. dollar/Sell Canadian dollar</w:t>
            </w:r>
          </w:p>
        </w:tc>
        <w:tc>
          <w:tcPr>
            <w:tcW w:w="3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1.3651</w:t>
            </w:r>
          </w:p>
        </w:tc>
        <w:tc>
          <w:tcPr>
            <w:tcW w:w="1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49.2</w:t>
            </w:r>
          </w:p>
        </w:tc>
        <w:tc>
          <w:tcPr>
            <w:tcW w:w="28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49.9</w:t>
            </w:r>
          </w:p>
        </w:tc>
        <w:tc>
          <w:tcPr>
            <w:tcW w:w="360" w:type="dxa"/>
            <w:vAlign w:val="bottom"/>
          </w:tcPr>
          <w:p>
            <w:pPr>
              <w:spacing w:after="0"/>
              <w:rPr>
                <w:sz w:val="16"/>
                <w:szCs w:val="16"/>
                <w:color w:val="auto"/>
              </w:rPr>
            </w:pPr>
          </w:p>
        </w:tc>
        <w:tc>
          <w:tcPr>
            <w:tcW w:w="102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 dollar/Sell Euro</w:t>
            </w:r>
          </w:p>
        </w:tc>
        <w:tc>
          <w:tcPr>
            <w:tcW w:w="3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1.1402</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188.8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628"/>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U.S. dollar/Sell British pound</w:t>
            </w:r>
          </w:p>
        </w:tc>
        <w:tc>
          <w:tcPr>
            <w:tcW w:w="3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1.2980</w:t>
            </w:r>
          </w:p>
        </w:tc>
        <w:tc>
          <w:tcPr>
            <w:tcW w:w="1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60.2</w:t>
            </w:r>
          </w:p>
        </w:tc>
        <w:tc>
          <w:tcPr>
            <w:tcW w:w="28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59.5</w:t>
            </w:r>
          </w:p>
        </w:tc>
        <w:tc>
          <w:tcPr>
            <w:tcW w:w="360" w:type="dxa"/>
            <w:vAlign w:val="bottom"/>
          </w:tcPr>
          <w:p>
            <w:pPr>
              <w:spacing w:after="0"/>
              <w:rPr>
                <w:sz w:val="16"/>
                <w:szCs w:val="16"/>
                <w:color w:val="auto"/>
              </w:rPr>
            </w:pPr>
          </w:p>
        </w:tc>
        <w:tc>
          <w:tcPr>
            <w:tcW w:w="1020" w:type="dxa"/>
            <w:vAlign w:val="bottom"/>
          </w:tcPr>
          <w:p>
            <w:pPr>
              <w:jc w:val="center"/>
              <w:ind w:left="62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Mexican peso/Sell U.S. dollar</w:t>
            </w:r>
          </w:p>
        </w:tc>
        <w:tc>
          <w:tcPr>
            <w:tcW w:w="3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20.3299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65.9</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69.7</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investment in foreign subsidiaries translated into U.S. dollars is not hedged. Any translation changes in foreign currency exchange rates would be reflected as a foreign currency translation adjustment, a component of accumulated other comprehensive loss in stockholders’ equity on the Consolidated Balance Sheets, and would not impact net earnings.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interest rate risk relates primarily to fluctuations in variable interest rates on our revolving credit facility and a term loan credit agreement,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indebtedness as of October 31, 2025 included $724.3 million of gross fixed rate debt that is not subject to variable interest rate fluctuations and $200.0 million of gross variable rate debt under our term loan credit agreement and revolving credit facility. As of October 31, 2025, the estimated fair value of gross long-term debt with fixed interest rates was $733.1 million compared to its carrying amount of $724.3 million. Interest rate risk for fixed-rate, long-term debt is estimated as the potential increase in the fair value of gross fixed rate debt, resulting from a hypothetical 10 percent decrease in interest rates, and amounts to $19.5 million. The estimated fair value of gross fixed rate debt is estimated by discounting the projected cash flows of our gross fixed rate debt using the current interest rate that could be obtained for similar amounts of debt and a similar financing term.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Cost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the inability of suppliers to absorb incremental costs related to inefficiencies, continue operations or otherwise remain in business; financial difficulties; changes to international trade policies, agreements, and/or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regulation; and competitor activity, including antidumping and countervailing duties on certain products imported from foreign countries, such as certain engines imported into the U.S. from China.</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Market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Volatility in the trading price of our common stock impacts the compensation costs associated with our stock-based compensation awards. Additionally, when applicable, declines in the trading price of our common stock can adversely impact our reconciliation of our market capitalization to the aggregate estimated fair value of our reporting units as a component of our goodwill impairment analysis and can also represent an interim period impairment indicator requiring the need to quantitatively assess goodwill for impairment during an interim period, which could result in impairment charges. Refer to Note 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and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in the Notes to Consolidated Financial Statements for additional information regarding our stock-based compensation awards and our goodwill impairment analysis,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an adequate system of internal control over financial reporting as defined in Rules 13a-15(f) and 15d-15(f) under the Securities Exchange Act of 1934, as amended, for The Toro Company and its subsidiaries. This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system of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Management, with the participation of the company's Chairman of the Board and Chief Executive Officer and Vice President and Chief Financial Officer, evaluated the effectiveness of the company's internal control over financial reporting as of October 31, 2025. In making this evaluation,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Based on this assessment, management concluded that the company's internal control over financial reporting was effective as of October 31, 2025. The company's internal control over financial reporting as of October 31, 2025 has been audited by KPMG LLP, an independent registered public accounting firm, as stated in their report, which is included herein.</w:t>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973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973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00" w:lineRule="exact"/>
        <w:rPr>
          <w:sz w:val="20"/>
          <w:szCs w:val="20"/>
          <w:color w:val="auto"/>
        </w:rPr>
      </w:pPr>
    </w:p>
    <w:p>
      <w:pPr>
        <w:spacing w:after="0" w:line="3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Further discussion of the company's internal controls and procedures is included in Part II, Item 9A, "Controls and Procedures"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The Toro Company and subsidiaries (the Company) as of October 31, 2025 and 2024, the related consolidated statements of earnings, comprehensive income, stockholders’ equity, and cash flows for each of the years in the three-year period ended October 31, 2025, and the related notes (collectively, the consolidated financial statements). We also have audited the Company’s internal control over financial reporting as of October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October 31, 2025 and 2024, and the results of its operations and its cash flows for each of the years in the three-year period ended October 31, 2025, in conformity with U.S. generally accepted accounting principles. Also in our opinion, the Company maintained, in all material respects, effective internal control over financial reporting as of October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Accrued sales promotions and incentives</w:t>
      </w:r>
    </w:p>
    <w:p>
      <w:pPr>
        <w:spacing w:after="0" w:line="119"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at the time of sale, the Company records an estimate for sales promotion and incentive costs, a portion of which relates to rebate programs. As of October 31, 2025, the Company recorded an accrual of $168.6 million for sales promotions and incentives. The Company’s estimates for sales promotion and incentive costs are primarily based on the terms of the sales arrangements and sales promotion and incentive programs with customers, historical payment and rebate claims experience, field inventory levels, quantity or mix of products purchased, types of programs offered, and expectations for the acceptance of sales promotion and incentive programs offered in the future or changes in other relevant trends.</w:t>
      </w:r>
    </w:p>
    <w:p>
      <w:pPr>
        <w:spacing w:after="0" w:line="79"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accrued sales promotions and incentives as a critical audit matter. To evaluate the Company’s expectations for changes in other relevant trends that were used to develop the estimate, a high degree of auditor judgment was required. Historical experience was an input used to develop expectations for changes in other relevant trends. Changes in other relevant trends could have an impact to the accrual for sales promotions and incentives.</w:t>
      </w:r>
    </w:p>
    <w:p>
      <w:pPr>
        <w:spacing w:after="0" w:line="72"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performed to address this critical audit matter. We evaluated the design and tested the operating effectiveness of certain internal controls related to the Company’s sales promotions and incentives process. This included controls related to the evaluation of the input described above. We evaluated the Company’s ability to estimate the sales promotions and incentives accruals by comparing the prior year’s accrual with subsequent payments. We developed an expectation of the Company’s accrual considering historical experience and current year field inventory levels. We tested sales promotions and incentives paid throughout the year by tracing a sample of payments to underlying documentation supporting the program terms to evaluate whether there have been any changes in other relevant trends. Additionally, we tested sales promotions and incentives paid subsequent to the balance sheet date by tracing a sample of payments to underlying documentation supporting the program terms to evaluate the accrual estimate.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1928.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Earnings</w:t>
      </w:r>
    </w:p>
    <w:p>
      <w:pP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7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7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4,510.4</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4,583.8</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4,553.2</w:t>
            </w:r>
          </w:p>
        </w:tc>
      </w:tr>
      <w:tr>
        <w:trPr>
          <w:trHeight w:val="196"/>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3,005.6</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3,034.5</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2,975.6</w:t>
            </w:r>
          </w:p>
        </w:tc>
      </w:tr>
      <w:tr>
        <w:trPr>
          <w:trHeight w:val="20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profit</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1,504.8</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1,549.3</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1,577.6</w:t>
            </w:r>
          </w:p>
        </w:tc>
      </w:tr>
      <w:tr>
        <w:trPr>
          <w:trHeight w:val="195"/>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1,013.8</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1,016.0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995.6</w:t>
            </w:r>
          </w:p>
        </w:tc>
      </w:tr>
      <w:tr>
        <w:trPr>
          <w:trHeight w:val="203"/>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7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81.1</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r>
      <w:tr>
        <w:trPr>
          <w:trHeight w:val="195"/>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earnings</w:t>
            </w:r>
          </w:p>
        </w:tc>
        <w:tc>
          <w:tcPr>
            <w:tcW w:w="7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409.9</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533.3</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430.7</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r>
      <w:tr>
        <w:trPr>
          <w:trHeight w:val="196"/>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26.8</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41.4</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20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377.6</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512.8</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w:t>
            </w:r>
          </w:p>
        </w:tc>
      </w:tr>
      <w:tr>
        <w:trPr>
          <w:trHeight w:val="196"/>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61.5</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93.9</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w:t>
            </w:r>
          </w:p>
        </w:tc>
      </w:tr>
      <w:tr>
        <w:trPr>
          <w:trHeight w:val="221"/>
        </w:trPr>
        <w:tc>
          <w:tcPr>
            <w:tcW w:w="6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earnings</w:t>
            </w:r>
          </w:p>
        </w:tc>
        <w:tc>
          <w:tcPr>
            <w:tcW w:w="7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316.1</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418.9</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w:t>
            </w:r>
          </w:p>
        </w:tc>
      </w:tr>
      <w:tr>
        <w:trPr>
          <w:trHeight w:val="20"/>
        </w:trPr>
        <w:tc>
          <w:tcPr>
            <w:tcW w:w="6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6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earnings per share of common stock</w:t>
            </w:r>
          </w:p>
        </w:tc>
        <w:tc>
          <w:tcPr>
            <w:tcW w:w="7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3.18</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4.04</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94"/>
        </w:trPr>
        <w:tc>
          <w:tcPr>
            <w:tcW w:w="6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96"/>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earnings per share of common stock</w:t>
            </w:r>
          </w:p>
        </w:tc>
        <w:tc>
          <w:tcPr>
            <w:tcW w:w="7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3.17</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4.01</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81"/>
        </w:trPr>
        <w:tc>
          <w:tcPr>
            <w:tcW w:w="6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shares of common stock outstanding – Basic</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99.5</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103.8</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r>
      <w:tr>
        <w:trPr>
          <w:trHeight w:val="94"/>
        </w:trPr>
        <w:tc>
          <w:tcPr>
            <w:tcW w:w="6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96"/>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shares of common stock outstanding – Diluted</w:t>
            </w:r>
          </w:p>
        </w:tc>
        <w:tc>
          <w:tcPr>
            <w:tcW w:w="7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99.8</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104.4</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r>
      <w:tr>
        <w:trPr>
          <w:trHeight w:val="314"/>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6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6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316.1</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418.9</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w:t>
            </w:r>
          </w:p>
        </w:tc>
      </w:tr>
      <w:tr>
        <w:trPr>
          <w:trHeight w:val="195"/>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95"/>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instruments, net of tax of $(1.5), $(2.3), and $(4.1), respectively</w:t>
            </w:r>
          </w:p>
        </w:tc>
        <w:tc>
          <w:tcPr>
            <w:tcW w:w="16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203"/>
        </w:trPr>
        <w:tc>
          <w:tcPr>
            <w:tcW w:w="5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Pension benefits, net of tax of $(0.3), $(0.3), and $(0.5), respectively</w:t>
            </w:r>
          </w:p>
        </w:tc>
        <w:tc>
          <w:tcPr>
            <w:tcW w:w="16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96"/>
        </w:trPr>
        <w:tc>
          <w:tcPr>
            <w:tcW w:w="5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21"/>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6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327.0</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409.9</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w:t>
            </w:r>
          </w:p>
        </w:tc>
      </w:tr>
      <w:tr>
        <w:trPr>
          <w:trHeight w:val="20"/>
        </w:trPr>
        <w:tc>
          <w:tcPr>
            <w:tcW w:w="57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top w:val="single" w:sz="8" w:color="auto"/>
              <w:bottom w:val="single" w:sz="8" w:color="auto"/>
            </w:tcBorders>
          </w:tcPr>
          <w:p>
            <w:pPr>
              <w:spacing w:after="0"/>
              <w:rPr>
                <w:sz w:val="18"/>
                <w:szCs w:val="18"/>
                <w:color w:val="auto"/>
              </w:rPr>
            </w:pPr>
          </w:p>
        </w:tc>
        <w:tc>
          <w:tcPr>
            <w:tcW w:w="838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8380" w:type="dxa"/>
            <w:vAlign w:val="bottom"/>
            <w:gridSpan w:val="4"/>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ASSETS</w:t>
            </w: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54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341.0</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Receivables, net: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Customers, net of allowances (2025 - $4.8; 2024 - $4.3)</w:t>
            </w:r>
          </w:p>
        </w:tc>
        <w:tc>
          <w:tcPr>
            <w:tcW w:w="38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332.3</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Receivables from finance affiliate</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8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24.3</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receivables, net</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378.2</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Inventories, net</w:t>
            </w:r>
          </w:p>
        </w:tc>
        <w:tc>
          <w:tcPr>
            <w:tcW w:w="38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920.8</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838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65.1</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 current assets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1,705.1</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615.8</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Goodwill</w:t>
            </w:r>
          </w:p>
        </w:tc>
        <w:tc>
          <w:tcPr>
            <w:tcW w:w="38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450.9</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390.3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38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114.7</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finance affiliate</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38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105.8</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838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3,438.8</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3,582.8</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54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LIABILITIES AND STOCKHOLDERS' EQUITY</w:t>
            </w: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38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367.6</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lease liabilities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Accrued liabilities: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Advertising and sales promotions and incentives programs</w:t>
            </w:r>
          </w:p>
        </w:tc>
        <w:tc>
          <w:tcPr>
            <w:tcW w:w="38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168.6</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Compensation and benefit costs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Insurance</w:t>
            </w:r>
          </w:p>
        </w:tc>
        <w:tc>
          <w:tcPr>
            <w:tcW w:w="38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8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83.1</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CCEEFF"/>
          </w:tcPr>
          <w:p>
            <w:pPr>
              <w:spacing w:after="0"/>
              <w:rPr>
                <w:sz w:val="17"/>
                <w:szCs w:val="17"/>
                <w:color w:val="auto"/>
              </w:rPr>
            </w:pPr>
          </w:p>
        </w:tc>
        <w:tc>
          <w:tcPr>
            <w:tcW w:w="8380" w:type="dxa"/>
            <w:vAlign w:val="bottom"/>
            <w:tcBorders>
              <w:bottom w:val="single" w:sz="8" w:color="auto"/>
            </w:tcBorders>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accrued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525.5</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912.4</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921.5</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8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100.3</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8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50.5</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02"/>
        </w:trPr>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54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par value $1.00 per share, authorized 1,000,000 voting and 850,000 non-voting shares, none issued and outstanding</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380" w:type="dxa"/>
            <w:vAlign w:val="bottom"/>
            <w:gridSpan w:val="4"/>
          </w:tcPr>
          <w:p>
            <w:pPr>
              <w:spacing w:after="0" w:line="139" w:lineRule="exact"/>
              <w:rPr>
                <w:sz w:val="20"/>
                <w:szCs w:val="20"/>
                <w:color w:val="auto"/>
              </w:rPr>
            </w:pPr>
            <w:r>
              <w:rPr>
                <w:rFonts w:ascii="Times New Roman" w:cs="Times New Roman" w:eastAsia="Times New Roman" w:hAnsi="Times New Roman"/>
                <w:sz w:val="14"/>
                <w:szCs w:val="14"/>
                <w:color w:val="auto"/>
              </w:rPr>
              <w:t>Common stock, par value $1.00 per share, authorized 175,000,000 shares; issued and outstanding 97,888,105 shares as of October 31, 2025 and</w:t>
            </w:r>
          </w:p>
        </w:tc>
        <w:tc>
          <w:tcPr>
            <w:tcW w:w="380" w:type="dxa"/>
            <w:vAlign w:val="bottom"/>
          </w:tcPr>
          <w:p>
            <w:pPr>
              <w:spacing w:after="0"/>
              <w:rPr>
                <w:sz w:val="12"/>
                <w:szCs w:val="12"/>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97.9</w:t>
            </w:r>
          </w:p>
        </w:tc>
        <w:tc>
          <w:tcPr>
            <w:tcW w:w="3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101,472,125 shares as of October 31, 2024</w:t>
            </w:r>
          </w:p>
        </w:tc>
        <w:tc>
          <w:tcPr>
            <w:tcW w:w="3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1,390.5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(35.1)</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CCEEFF"/>
          </w:tcPr>
          <w:p>
            <w:pPr>
              <w:spacing w:after="0"/>
              <w:rPr>
                <w:sz w:val="17"/>
                <w:szCs w:val="17"/>
                <w:color w:val="auto"/>
              </w:rPr>
            </w:pPr>
          </w:p>
        </w:tc>
        <w:tc>
          <w:tcPr>
            <w:tcW w:w="8380" w:type="dxa"/>
            <w:vAlign w:val="bottom"/>
            <w:tcBorders>
              <w:bottom w:val="single" w:sz="8" w:color="auto"/>
            </w:tcBorders>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1,453.3</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3,438.8</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3,582.8</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316.1</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418.9</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w:t>
            </w: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income from finance affiliate</w:t>
            </w:r>
          </w:p>
        </w:tc>
        <w:tc>
          <w:tcPr>
            <w:tcW w:w="1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from finance affiliate, net</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26.9</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14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112.2</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93.7</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other intangible assets</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14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81.1</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5"/>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the effect of acquisitions:</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net</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 net</w:t>
            </w:r>
          </w:p>
        </w:tc>
        <w:tc>
          <w:tcPr>
            <w:tcW w:w="14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109.3</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28.4</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r>
      <w:tr>
        <w:trPr>
          <w:trHeight w:val="203"/>
        </w:trPr>
        <w:tc>
          <w:tcPr>
            <w:tcW w:w="5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196"/>
        </w:trPr>
        <w:tc>
          <w:tcPr>
            <w:tcW w:w="5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662.0</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569.9</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w:t>
            </w:r>
          </w:p>
        </w:tc>
      </w:tr>
      <w:tr>
        <w:trPr>
          <w:trHeight w:val="20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(103.5)</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sales of property, plant, and equipment</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insurance claim</w:t>
            </w:r>
          </w:p>
        </w:tc>
        <w:tc>
          <w:tcPr>
            <w:tcW w:w="14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Acquisitions, net of cash received</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96"/>
        </w:trPr>
        <w:tc>
          <w:tcPr>
            <w:tcW w:w="5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Divestitures</w:t>
            </w:r>
          </w:p>
        </w:tc>
        <w:tc>
          <w:tcPr>
            <w:tcW w:w="1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40.0</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6"/>
        </w:trPr>
        <w:tc>
          <w:tcPr>
            <w:tcW w:w="59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(59.7)</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r>
      <w:tr>
        <w:trPr>
          <w:trHeight w:val="195"/>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under debt arrangements</w:t>
            </w:r>
            <w:r>
              <w:rPr>
                <w:rFonts w:ascii="Times New Roman" w:cs="Times New Roman" w:eastAsia="Times New Roman" w:hAnsi="Times New Roman"/>
                <w:sz w:val="18"/>
                <w:szCs w:val="18"/>
                <w:color w:val="auto"/>
                <w:vertAlign w:val="superscript"/>
              </w:rPr>
              <w:t>1</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1,040.0</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465.0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555.0</w:t>
            </w:r>
          </w:p>
        </w:tc>
      </w:tr>
      <w:tr>
        <w:trPr>
          <w:trHeight w:val="203"/>
        </w:trPr>
        <w:tc>
          <w:tcPr>
            <w:tcW w:w="59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Repayments under debt arrangements</w:t>
            </w:r>
            <w:r>
              <w:rPr>
                <w:rFonts w:ascii="Times New Roman" w:cs="Times New Roman" w:eastAsia="Times New Roman" w:hAnsi="Times New Roman"/>
                <w:sz w:val="18"/>
                <w:szCs w:val="18"/>
                <w:color w:val="auto"/>
                <w:vertAlign w:val="superscript"/>
              </w:rPr>
              <w:t>1</w:t>
            </w:r>
          </w:p>
        </w:tc>
        <w:tc>
          <w:tcPr>
            <w:tcW w:w="1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(1,040.0)</w:t>
            </w:r>
          </w:p>
        </w:tc>
        <w:tc>
          <w:tcPr>
            <w:tcW w:w="36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(575.0)</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w:t>
            </w:r>
          </w:p>
        </w:tc>
      </w:tr>
      <w:tr>
        <w:trPr>
          <w:trHeight w:val="203"/>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of withholding taxes for stock awards</w:t>
            </w:r>
          </w:p>
        </w:tc>
        <w:tc>
          <w:tcPr>
            <w:tcW w:w="1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repurchases</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 on common stock</w:t>
            </w:r>
          </w:p>
        </w:tc>
        <w:tc>
          <w:tcPr>
            <w:tcW w:w="1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(149.5)</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r>
      <w:tr>
        <w:trPr>
          <w:trHeight w:val="203"/>
        </w:trPr>
        <w:tc>
          <w:tcPr>
            <w:tcW w:w="5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6"/>
        </w:trPr>
        <w:tc>
          <w:tcPr>
            <w:tcW w:w="5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(446.1)</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(505.1)</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w:t>
            </w:r>
          </w:p>
        </w:tc>
      </w:tr>
      <w:tr>
        <w:trPr>
          <w:trHeight w:val="81"/>
        </w:trPr>
        <w:tc>
          <w:tcPr>
            <w:tcW w:w="592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r>
      <w:tr>
        <w:trPr>
          <w:trHeight w:val="19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1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81"/>
        </w:trPr>
        <w:tc>
          <w:tcPr>
            <w:tcW w:w="592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r>
      <w:tr>
        <w:trPr>
          <w:trHeight w:val="19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141.5</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96"/>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as of the beginning of the fiscal period</w:t>
            </w:r>
          </w:p>
        </w:tc>
        <w:tc>
          <w:tcPr>
            <w:tcW w:w="1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199.5</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193.1</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r>
      <w:tr>
        <w:trPr>
          <w:trHeight w:val="196"/>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as of the end of the fiscal period</w:t>
            </w:r>
          </w:p>
        </w:tc>
        <w:tc>
          <w:tcPr>
            <w:tcW w:w="1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341.0</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199.5</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w:t>
            </w:r>
          </w:p>
        </w:tc>
      </w:tr>
      <w:tr>
        <w:trPr>
          <w:trHeight w:val="27"/>
        </w:trPr>
        <w:tc>
          <w:tcPr>
            <w:tcW w:w="5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61"/>
        </w:trPr>
        <w:tc>
          <w:tcPr>
            <w:tcW w:w="59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1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during the fiscal year for:</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w:t>
            </w:r>
          </w:p>
        </w:tc>
        <w:tc>
          <w:tcPr>
            <w:tcW w:w="14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62.5</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63.0</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r>
      <w:tr>
        <w:trPr>
          <w:trHeight w:val="196"/>
        </w:trPr>
        <w:tc>
          <w:tcPr>
            <w:tcW w:w="5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Income taxes</w:t>
            </w:r>
          </w:p>
        </w:tc>
        <w:tc>
          <w:tcPr>
            <w:tcW w:w="1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106.4</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91.7</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w:t>
            </w:r>
          </w:p>
        </w:tc>
      </w:tr>
    </w:tbl>
    <w:p>
      <w:pPr>
        <w:spacing w:after="0" w:line="77" w:lineRule="exact"/>
        <w:rPr>
          <w:sz w:val="20"/>
          <w:szCs w:val="20"/>
          <w:color w:val="auto"/>
        </w:rPr>
      </w:pPr>
    </w:p>
    <w:p>
      <w:pPr>
        <w:ind w:right="20" w:firstLine="8"/>
        <w:spacing w:after="0" w:line="230" w:lineRule="auto"/>
        <w:tabs>
          <w:tab w:leader="none" w:pos="89"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Presentation of prior year revolving credit facility and long-term debt activity has been conformed to the current year presentation. There was no change to net cash used in financing activities.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Stockholders' Equity</w:t>
      </w:r>
    </w:p>
    <w:p>
      <w:pP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4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tcBorders>
              <w:top w:val="single" w:sz="8" w:color="auto"/>
            </w:tcBorders>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40" w:type="dxa"/>
            <w:vAlign w:val="bottom"/>
            <w:tcBorders>
              <w:top w:val="single" w:sz="8" w:color="auto"/>
            </w:tcBorders>
            <w:gridSpan w:val="2"/>
          </w:tcPr>
          <w:p>
            <w:pPr>
              <w:jc w:val="right"/>
              <w:ind w:right="28"/>
              <w:spacing w:after="0" w:line="15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380" w:type="dxa"/>
            <w:vAlign w:val="bottom"/>
            <w:tcBorders>
              <w:top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5"/>
        </w:trPr>
        <w:tc>
          <w:tcPr>
            <w:tcW w:w="5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2022</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104.0</w:t>
            </w:r>
          </w:p>
        </w:tc>
        <w:tc>
          <w:tcPr>
            <w:tcW w:w="50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1,280.8</w:t>
            </w:r>
          </w:p>
        </w:tc>
        <w:tc>
          <w:tcPr>
            <w:tcW w:w="5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w:t>
            </w:r>
          </w:p>
        </w:tc>
        <w:tc>
          <w:tcPr>
            <w:tcW w:w="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1,351.7</w:t>
            </w: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paid on common stock - $1.36 per share</w:t>
            </w:r>
          </w:p>
        </w:tc>
        <w:tc>
          <w:tcPr>
            <w:tcW w:w="3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5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0" w:type="dxa"/>
            <w:vAlign w:val="bottom"/>
          </w:tcPr>
          <w:p>
            <w:pPr>
              <w:spacing w:after="0"/>
              <w:rPr>
                <w:sz w:val="1"/>
                <w:szCs w:val="1"/>
                <w:color w:val="auto"/>
              </w:rPr>
            </w:pPr>
          </w:p>
        </w:tc>
      </w:tr>
      <w:tr>
        <w:trPr>
          <w:trHeight w:val="146"/>
        </w:trPr>
        <w:tc>
          <w:tcPr>
            <w:tcW w:w="54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499,145 shares of common stock under stock-based compensation plans, less</w:t>
            </w:r>
          </w:p>
        </w:tc>
        <w:tc>
          <w:tcPr>
            <w:tcW w:w="3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5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w:t>
            </w:r>
          </w:p>
        </w:tc>
        <w:tc>
          <w:tcPr>
            <w:tcW w:w="5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 of 14,270 shares of common stock to a deferred compensation trust</w:t>
            </w:r>
          </w:p>
        </w:tc>
        <w:tc>
          <w:tcPr>
            <w:tcW w:w="36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w:t>
            </w:r>
          </w:p>
        </w:tc>
        <w:tc>
          <w:tcPr>
            <w:tcW w:w="5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611,195 shares of common stock</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3"/>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329.7</w:t>
            </w:r>
          </w:p>
        </w:tc>
        <w:tc>
          <w:tcPr>
            <w:tcW w:w="5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October 31, 2023</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103.8</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1,444.1</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(37.0)</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1,510.9</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paid on common stock - $1.44 per share</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0" w:type="dxa"/>
            <w:vAlign w:val="bottom"/>
          </w:tcPr>
          <w:p>
            <w:pPr>
              <w:spacing w:after="0"/>
              <w:rPr>
                <w:sz w:val="1"/>
                <w:szCs w:val="1"/>
                <w:color w:val="auto"/>
              </w:rPr>
            </w:pPr>
          </w:p>
        </w:tc>
      </w:tr>
      <w:tr>
        <w:trPr>
          <w:trHeight w:val="139"/>
        </w:trPr>
        <w:tc>
          <w:tcPr>
            <w:tcW w:w="54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502,917 shares of common stock under stock-based compensation plans, less</w:t>
            </w:r>
          </w:p>
        </w:tc>
        <w:tc>
          <w:tcPr>
            <w:tcW w:w="360" w:type="dxa"/>
            <w:vAlign w:val="bottom"/>
          </w:tcPr>
          <w:p>
            <w:pPr>
              <w:spacing w:after="0"/>
              <w:rPr>
                <w:sz w:val="12"/>
                <w:szCs w:val="12"/>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500" w:type="dxa"/>
            <w:vAlign w:val="bottom"/>
          </w:tcPr>
          <w:p>
            <w:pPr>
              <w:spacing w:after="0"/>
              <w:rPr>
                <w:sz w:val="12"/>
                <w:szCs w:val="12"/>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8.6</w:t>
            </w:r>
          </w:p>
        </w:tc>
        <w:tc>
          <w:tcPr>
            <w:tcW w:w="58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3"/>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 of 54,526 shares of common stock to a deferred compensation trust</w:t>
            </w: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23.0</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2,819,729 shares of common stock</w:t>
            </w:r>
          </w:p>
        </w:tc>
        <w:tc>
          <w:tcPr>
            <w:tcW w:w="3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5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418.9</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2024</w:t>
            </w: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101.5</w:t>
            </w:r>
          </w:p>
        </w:tc>
        <w:tc>
          <w:tcPr>
            <w:tcW w:w="5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1,496.4</w:t>
            </w:r>
          </w:p>
        </w:tc>
        <w:tc>
          <w:tcPr>
            <w:tcW w:w="5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(46.0)</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1,551.9</w:t>
            </w: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paid on common stock - $1.52 per share</w:t>
            </w:r>
          </w:p>
        </w:tc>
        <w:tc>
          <w:tcPr>
            <w:tcW w:w="3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5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0" w:type="dxa"/>
            <w:vAlign w:val="bottom"/>
          </w:tcPr>
          <w:p>
            <w:pPr>
              <w:spacing w:after="0"/>
              <w:rPr>
                <w:sz w:val="1"/>
                <w:szCs w:val="1"/>
                <w:color w:val="auto"/>
              </w:rPr>
            </w:pPr>
          </w:p>
        </w:tc>
      </w:tr>
      <w:tr>
        <w:trPr>
          <w:trHeight w:val="146"/>
        </w:trPr>
        <w:tc>
          <w:tcPr>
            <w:tcW w:w="54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243,902 shares of common stock under stock-based compensation plans, less</w:t>
            </w:r>
          </w:p>
        </w:tc>
        <w:tc>
          <w:tcPr>
            <w:tcW w:w="3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5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5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 of 8,673 shares of common stock to a deferred compensation trust</w:t>
            </w:r>
          </w:p>
        </w:tc>
        <w:tc>
          <w:tcPr>
            <w:tcW w:w="36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w:t>
            </w:r>
          </w:p>
        </w:tc>
        <w:tc>
          <w:tcPr>
            <w:tcW w:w="5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3,819,227 shares of common stock</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3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3"/>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316.1</w:t>
            </w:r>
          </w:p>
        </w:tc>
        <w:tc>
          <w:tcPr>
            <w:tcW w:w="5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316.1</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October 31, 2025</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97.9</w:t>
            </w:r>
          </w:p>
        </w:tc>
        <w:tc>
          <w:tcPr>
            <w:tcW w:w="5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1,390.5</w:t>
            </w: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(35.1)</w:t>
            </w:r>
          </w:p>
        </w:tc>
        <w:tc>
          <w:tcPr>
            <w:tcW w:w="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1,453.3</w:t>
            </w:r>
          </w:p>
        </w:tc>
        <w:tc>
          <w:tcPr>
            <w:tcW w:w="0" w:type="dxa"/>
            <w:vAlign w:val="bottom"/>
          </w:tcPr>
          <w:p>
            <w:pPr>
              <w:spacing w:after="0"/>
              <w:rPr>
                <w:sz w:val="1"/>
                <w:szCs w:val="1"/>
                <w:color w:val="auto"/>
              </w:rPr>
            </w:pP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THE TORO COMPANY AND SUBSIDIARIES •</w:t>
      </w:r>
    </w:p>
    <w:p>
      <w:pPr>
        <w:spacing w:after="0" w:line="399" w:lineRule="exact"/>
        <w:rPr>
          <w:sz w:val="20"/>
          <w:szCs w:val="20"/>
          <w:color w:val="auto"/>
        </w:rPr>
      </w:pPr>
    </w:p>
    <w:p>
      <w:pPr>
        <w:ind w:left="620" w:right="6900" w:hanging="594"/>
        <w:spacing w:after="0" w:line="186" w:lineRule="auto"/>
        <w:tabs>
          <w:tab w:leader="none" w:pos="620" w:val="left"/>
        </w:tabs>
        <w:numPr>
          <w:ilvl w:val="0"/>
          <w:numId w:val="31"/>
        </w:numPr>
        <w:rPr>
          <w:rFonts w:ascii="Times New Roman" w:cs="Times New Roman" w:eastAsia="Times New Roman" w:hAnsi="Times New Roman"/>
          <w:sz w:val="35"/>
          <w:szCs w:val="35"/>
          <w:b w:val="1"/>
          <w:bCs w:val="1"/>
          <w:color w:val="auto"/>
        </w:rPr>
      </w:pPr>
      <w:r>
        <w:rPr>
          <w:rFonts w:ascii="Times New Roman" w:cs="Times New Roman" w:eastAsia="Times New Roman" w:hAnsi="Times New Roman"/>
          <w:sz w:val="17"/>
          <w:szCs w:val="17"/>
          <w:b w:val="1"/>
          <w:bCs w:val="1"/>
          <w:color w:val="auto"/>
        </w:rPr>
        <w:t>Summary of Significant Accounting Policies and Related Data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The company sells its products worldwide through a network of distributors, dealers, mass retailers, hardware retailers, equipment rental centers, and home centers, as well as online and direct to end-users. The company strives to provide innovative, well-built, and dependable products supported by an extensive service network.</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company's significant accounting policies in addition to those included in the other Notes to Consolidated Financial Statements included within this Part II, Item 8, "Financial Statements and Supplementary Data,"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("GAAP") in the United States ("U.S.") and include the accounts of the company and its wholly-owned subsidiaries. In the opinion of management, the Consolidated Financial Statements include all adjustments, consisting primarily of recurring accruals, considered necessary for the fair presentation of the company's consolidated financial position, results of operations, and cash flows for the periods presented.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businesses are organized, managed, and internally grouped into segments based on similarities in products and services. The company classifies its operations into two reportable business segments: Professional and Residential. The company's remaining activities are presented as "Other" due to their insignificance. For additional information regarding the company's reportable business segments refer to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equity method to account for equity investments in unconsolidated entities over which it has the ability to exercise significant influence over operating and financial policies. The company's share of the net earnings or losses of these equity method investments are recorded within other income, net on the Consolidated Statements of Earnings. Equity investments in unconsolidated entities that the company does not control and for which it does not have the ability to exercise significant influence over operating and financial policies are recorded at cost, less impairment, as applicable, within the Consolidated Balance Sheets. All intercompany accounts and transactions have been eliminated from the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 for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current economic environment and other relevant factors, as applicable.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applicable, the company accounts for the acquisition of a business in accordance with the accounting standards codification ("ASC") guidance for business combinations, whereby the total purchase consideration transferred is allocated to the assets acquired and liabilities assumed, including amounts attributable to non-controlling interests, when applicable, based on their respective estimated fair values as of the date of acquisition. Goodwill represents the excess of purchase consideration transferred over the estimated fair value of the identifiable net assets acquired in a business combination.</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Assigning estimated fair values to the net assets acquired requires the use of significant estimates, judgments, inputs, and assumptions regarding the fair value of the assets acquired and liabilities assumed. Estimated fair values of assets acquired and liabilities assumed are generally based on available historical information, independent valuations or appraisals, future expectations, and assumptions determined to be reasonable but are inherently uncertain with respect to future events, including economic conditions, competition, the useful life of the acquired assets, and other factors. The company may refine the estimated fair values of assets acquired and liabilities assumed, if necessary, over a period not to exceed one year from the date of acquisition by taking into consideration new information about facts and circumstances that existed as of the acquisition date that, if known at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the acquisition through depreciation and amortization, and in certain instances through impairment charges, if the asset becomes impaired in the future. During the measurement period, any purchase price allocation changes that impact the carrying value of goodwill would also affect the amount of goodwill impairment taken, if applicable. If necessary, purchase price allocation revisions that occur outside of the measurement period are recorded within cost of sales or selling, general and administrative expense within the Consolidated Statements of Earnings depending on the nature of the adjustment.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an acquisition does not meet the definition of a business combination because either: (i) substantially all of the fair value of the gross assets acquired is concentrated in a single identifiable asset, or group of similar identified assets, or (ii) the acquired entity does not have an input and a substantive process that together significantly contribute to the ability to create outputs, the company accounts for the acquisition as an asset acquisition. In an asset acquisition, goodwill is not recognized, but rather, any excess purchase consideration over the fair value of the net assets acquired is allocated on a relative fair value basis to the identifiable net assets as of the acquisition date and any direct acquisition-related transaction costs are capitalized as part of the purchase consideration.</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 for additional information regarding the company's accounting for recent business combinations and asset acquisitions.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Cash equivalents are stated at cost, which approximates fair value. As of October 31, 2025 and 2024, cash and cash equivalents held by the company's foreign subsidiaries were $141.3 million and $136.0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 Net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Receivables are recorded at original carrying amount less an estimated allowance for expected credit losses. The allowance for expected credit losses is based on the company's assessment of losses that will result from its customers inability or unwillingness to pay amounts owed to the company. The allowance for expected credit losses is estimated using a combination of factors, including the age of receivable balances and historical credit loss experience, supplemented by the company's knowledge of customer-specific information, current market conditions, and reasonable and supportable projections of future events and economic conditions, when applicable. Receivables are written-off against the allowance for expected credit losses when all collection efforts have been exhausted.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financial exposure related to the collection of accounts receivable is reduced due to its inventory financing arrangements, as further discussed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receivables not serviced through inventory financing agreements, the company provides financing in the form of open account terms in the normal course of business and performs on-going credit evaluations of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accounts receivable and derivative instruments. Accounts receivable balances are generally concentrated in the Professional and Residential business segments, and more specifically in our mass channel and international customers. The credit risk associated with these concentrations is limited because of the large number of customers in the company's customer base and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their geographic dispersion. The credit risk associated with the company's derivative instruments is limited as the company enters into derivative instruments with multiple counterparties that are highly rated financial institutions.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a combination of inventory valuation methods. Most inventories are valued at the lower of cost or net realizable value, with cost determined by the first-in, first-out ("FIFO") and average cost methods; these inventories totaled $550.1 million and $557.1 million as of October 31, 2025 and 2024, respectively. Remaining inventories are valued at the lower of cost or market, with cost determined under the last-in, first-out ("LIFO") method; these inventories totaled $370.7 million and $481.8 million as of October 31, 2025 and 2024, respectively. LIFO layers were reduced by $8.1 million during fiscal 2025 and were not materially reduced during fiscal 2024.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The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 Such inventory valuation reserves for excess, obsolete, and slow moving inventory are not reduced or removed until the product is sold or disposed of. As of October 31, 2025 and 2024, the company's inventory valuation reserve for excess, slow-moving, and obsolete inventory was $60.5 million and $47.8 million,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 and work in process</w:t>
            </w:r>
          </w:p>
        </w:tc>
        <w:tc>
          <w:tcPr>
            <w:tcW w:w="35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353.1</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w:t>
            </w:r>
          </w:p>
        </w:tc>
      </w:tr>
      <w:tr>
        <w:trPr>
          <w:trHeight w:val="19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Finished goods and service parts</w:t>
            </w:r>
          </w:p>
        </w:tc>
        <w:tc>
          <w:tcPr>
            <w:tcW w:w="3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785.4</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827.5</w:t>
            </w:r>
          </w:p>
        </w:tc>
      </w:tr>
      <w:tr>
        <w:trPr>
          <w:trHeight w:val="203"/>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FIFO value</w:t>
            </w:r>
          </w:p>
        </w:tc>
        <w:tc>
          <w:tcPr>
            <w:tcW w:w="3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1,138.5</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1,212.3</w:t>
            </w:r>
          </w:p>
        </w:tc>
      </w:tr>
      <w:tr>
        <w:trPr>
          <w:trHeight w:val="19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Excess of FIFO over LIFO cost</w:t>
            </w:r>
          </w:p>
        </w:tc>
        <w:tc>
          <w:tcPr>
            <w:tcW w:w="3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(217.7)</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(173.4)</w:t>
            </w:r>
          </w:p>
        </w:tc>
      </w:tr>
      <w:tr>
        <w:trPr>
          <w:trHeight w:val="221"/>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inventories, net</w:t>
            </w:r>
          </w:p>
        </w:tc>
        <w:tc>
          <w:tcPr>
            <w:tcW w:w="35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920.8</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Property, plant, and equipment assets are carried at cost less accumulated depreciation. The company generally accounts for depreciation of property, plant, and equipment utilizing the straight-line half year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Consolidated Statements of Earnings depending on the nature and use of the related asset. Interest is capitalized during the construction period for significant capital projects. During the fiscal years ended October 31, 2025, 2024, and 2023, the company capitalized $2.2 million, $3.1 million, and $4.2 million of interest,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was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and land improvements</w:t>
            </w:r>
          </w:p>
        </w:tc>
        <w:tc>
          <w:tcPr>
            <w:tcW w:w="3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78.3</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r>
      <w:tr>
        <w:trPr>
          <w:trHeight w:val="19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33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414.4</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372.1</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3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715.6</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676.9</w:t>
            </w:r>
          </w:p>
        </w:tc>
      </w:tr>
      <w:tr>
        <w:trPr>
          <w:trHeight w:val="19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Tooling</w:t>
            </w:r>
          </w:p>
        </w:tc>
        <w:tc>
          <w:tcPr>
            <w:tcW w:w="33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255.1</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3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108.1</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r>
      <w:tr>
        <w:trPr>
          <w:trHeight w:val="19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3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65.1</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w:t>
            </w:r>
          </w:p>
        </w:tc>
      </w:tr>
      <w:tr>
        <w:trPr>
          <w:trHeight w:val="203"/>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gross</w:t>
            </w:r>
          </w:p>
        </w:tc>
        <w:tc>
          <w:tcPr>
            <w:tcW w:w="3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1,636.6</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1,577.0</w:t>
            </w:r>
          </w:p>
        </w:tc>
      </w:tr>
      <w:tr>
        <w:trPr>
          <w:trHeight w:val="19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1,020.8</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932.2</w:t>
            </w:r>
          </w:p>
        </w:tc>
      </w:tr>
      <w:tr>
        <w:trPr>
          <w:trHeight w:val="221"/>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3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615.8</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644.8</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2025, 2024, and 2023, the company recorded depreciation expense of $112.2 million, $93.7 million, and $83.5 million,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Goodwill is initially recognized as a result of the excess of purchase consideration transferred over the estimated fair value of the net assets acquired in a business combination and indefinite-lived intangible assets are initially recognized at their estimated fair values as a result of a business combination or asset acquisition. Goodwill is assigned to a reporting unit based upon the expected benefit of the synergies of the acquisition. Goodwill and certain trade names, which are considered to have indefinite lives, are not amortized; however, the company reviews them for impairment annually during the fourth quarter of each fiscal year or more frequently if changes in circumstances or the occurrence of events indicate that impairment may have occurred prior to the annual assessment. The company tests goodwill for impairment at the reporting unit level and tests indefinite-lived intangible assets for impairment at the individual indefinite-lived intangible asset level. At the end of the third quarter of fiscal 2025, the company recorded an impairment charge of $81.1 million related to the indefinite-lived Spartan trade name intangible asset reported under the Professional segment. The impairment charge resulted in a $19.7 million income tax benefit (deferred tax asset) associated with the remaining tax deductible basis in the intangible asset. Refer to Note 5,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Intangible Assets </w:t>
      </w:r>
      <w:r>
        <w:rPr>
          <w:rFonts w:ascii="Times New Roman" w:cs="Times New Roman" w:eastAsia="Times New Roman" w:hAnsi="Times New Roman"/>
          <w:sz w:val="18"/>
          <w:szCs w:val="18"/>
          <w:color w:val="auto"/>
        </w:rPr>
        <w:t>for further information.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Based on a change made to our operating segments during the fourth quarter of fiscal 2025, as discussed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the company has identified eight operating segments. The company tested goodwill of the new reporting units for impairment both before and following the change in reporting unit structure, and no impairment was identified. Seven reporting units contained goodwill on their respective balance sheets as of October 31, 2025.</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fourth quarter of fiscal 2025, the company performed its annual goodwill impairment test. The company elected to bypass the qualitative assessment and move directly to the quantitative goodwill impairment analysis. In performing the quantitative goodwill impairment analysis, the company compared the carrying value of each reporting unit, including goodwill, to its respective fair value. The carrying value of each reporting unit was determined based on the amount of equity required for the reporting unit's activities, considering the specific assets and liabilities of the reporting unit. The company did not assign corporate assets and liabilities that do not relate to the operations of the reporting unit, or are not considered in determining the fair value of the reporting unit, to the reporting units. The company's estimate of the respective fair values of its reporting units was determined based on a discounted cash flow model under the income approach, which utilized various inputs and assumptions, including projected operating results and growth rates from the company's projection process, applicable tax rates, estimated capital expenditures and depreciation, estimated changes in working capital, terminal growth rates applied to projected operating results in the terminal period, and a weighted-average cost of capital rate. Where available, and as appropriate, comparable market multiples and the company's market capitalization were also utilized to corroborate the results of the discounted cash flow models under the income approach. If the fair value of the reporting unit exceeds its carrying value, goodwill of the reporting unit is not impaired. If the carrying value of a reporting unit exceeds its fair value, an impairment charge would be recognized for the amount by which the carrying value of the reporting unit exceeds its fair value, not to exceed the total amount of goodwill allocated to that reporting unit. Based on the quantitative annual goodwill impairment analysis performed in the fourth quarter of fiscal 2025, the company determined there was no impairment of goodwill for any of its reporting units.</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2025, the company also performed a quantitative impairment analysis for its indefinite-lived intangible assets, which consist of certain trade names. The company's estimate of the fair values of its trade names are based on the relief from royalty method under the income approach and utilizes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If the fair value of the indefinite-lived intangible asset is less than its carrying value, an impairment loss is recognized in an amount equal to the excess. Based on this quantitative impairment analysis performed in the fourth quarter of fiscal 2025, the company concluded its indefinite-lived intangible assets were not impaired.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Long-Lived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long-lived assets primarily consist of property, plant, and equipment; right-of-use assets associated with operating lease agreements; capitalized implementation costs for hosted cloud-computing arrangements; finite-lived intangible assets; and other assets, as applicable. The company's finite-lived intangible assets are identifiable assets that were acquired as a result of business combinations or asset acquisitions and primarily consist of customer relationships and lists, developed technology, patents, trade names, non-compete agreements, and order backlog and are generally amortized on a straight-line basis over their expected useful lives, which typically range from several months to 20 years depending on the nature of the finite-lived intangible asset.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other long-lived assets for impairment whenever events or changes in circumstances indicate that the carrying amount of an asset, or asset group, may not be recoverable. Asset groups have identifiable cash flows that are largely independent of other asset groups. An impairment loss is recognized when estimated discounted future cash flows from the operation or disposition of the asset group are less than the carrying amount of the asset group.</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company's annual review process, during the fourth quarter of fiscal 2025, the company elected to perform a quantitative impairment analysis for its asset groups. The company's estimate of the respective fair values of its asset groups was determined using the methods, inputs, and assumptions used in the goodwill impairment model. Based on this quantitative analysis, the company concluded that the fair values of all asset groups exceeded their respective carrying amounts, and therefore, no impairment was recognized. The company did not record an impairment loss for fiscal 2025, 2024, and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other long-lived assets to be abandoned, the company tests for potential impairment. If the company commits to a plan to abandon or dispose of an other long-lived asset, or asset group, before the end of its previously estimated useful life, depreciation or amortization expense is recognized over the revised estimated useful life.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are, or contain, operating lease agreements that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includes all non-cancelable periods.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The company has operating leases with both lease components and non-lease components. For purposes of determining lease payments,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 Minimum remaining lease payments are discounted to present value based on the rate implicit in the operating lease agreement or the estimated incremental borrowing rate at lease commencement if the rate implicit in the lease is not readily determinable. Minimum remaining lease payments are generally discounted to present value based the estimated incremental borrowing rate at lease commencement as the rate implicit in the lease is generally not readily determinable.</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throughout the lease term and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Lease expense for the company's operating leases is recognized on a straight-line basis over the lease term and is recorded within either cost of sales or selling, general and administrative expense in the Consolidated Statements of Earnings depending on the nature and use of the identified asset underlying the respective operating lease arrangement. The company does not recognize right-of-use assets and lease liabilities, but does recognize lease expense on a straight-line basis, for short-term operating leases which have a lease term of 12 months or less and do not include an option to purchase the underlying asset.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The company guarantees its payment obligations under the supply chain finance arrangement with the third-party financial institution. The company does not pledge assets as security to the suppliers or the third-party financial institution. As of October 31, 2025 and 2024, $68.8 million and $98.8 million, respectively, of the company's outstanding payment obligations were financed by participating suppliers through the third-party financial institution's supply chain finance web-based platform. These obligations are presented within accounts payable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roll forward of the company's outstanding payment obligations financed by participating suppliers through the third-party financial institution's supply chain finance web-based platform is as follows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October 31, 2024</w:t>
            </w:r>
          </w:p>
        </w:tc>
        <w:tc>
          <w:tcPr>
            <w:tcW w:w="402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including foreign currency translation</w:t>
            </w:r>
          </w:p>
        </w:tc>
        <w:tc>
          <w:tcPr>
            <w:tcW w:w="40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440.7</w:t>
            </w:r>
          </w:p>
        </w:tc>
      </w:tr>
      <w:tr>
        <w:trPr>
          <w:trHeight w:val="196"/>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40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(470.7)</w:t>
            </w:r>
          </w:p>
        </w:tc>
      </w:tr>
      <w:tr>
        <w:trPr>
          <w:trHeight w:val="221"/>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2025</w:t>
            </w:r>
          </w:p>
        </w:tc>
        <w:tc>
          <w:tcPr>
            <w:tcW w:w="402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r>
      <w:tr>
        <w:trPr>
          <w:trHeight w:val="20"/>
        </w:trPr>
        <w:tc>
          <w:tcPr>
            <w:tcW w:w="6380" w:type="dxa"/>
            <w:vAlign w:val="bottom"/>
            <w:tcBorders>
              <w:top w:val="single" w:sz="8" w:color="CCEEFF"/>
              <w:bottom w:val="single" w:sz="8" w:color="auto"/>
            </w:tcBorders>
          </w:tcPr>
          <w:p>
            <w:pPr>
              <w:spacing w:after="0" w:line="20" w:lineRule="exact"/>
              <w:rPr>
                <w:sz w:val="1"/>
                <w:szCs w:val="1"/>
                <w:color w:val="auto"/>
              </w:rPr>
            </w:pPr>
          </w:p>
        </w:tc>
        <w:tc>
          <w:tcPr>
            <w:tcW w:w="40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self-insured for certain losses relating to employee medical, dental, workers' compensation, and certain product liability claims. Specific stop loss coverages are provided for catastrophic claims in order to limit exposure to significant claims. Losses and claims are charged to net earnings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 as applicable.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Warranty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time of sale, the company recognizes expense and records an accrual by product line for estimated costs in connection with projected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accrued warranties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9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9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150.2</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143.9</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accrual related to warranties issued during the period</w:t>
            </w:r>
          </w:p>
        </w:tc>
        <w:tc>
          <w:tcPr>
            <w:tcW w:w="19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87.9</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made during the period</w:t>
            </w: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r>
      <w:tr>
        <w:trPr>
          <w:trHeight w:val="196"/>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Changes in accrual related to pre-existing warranties</w:t>
            </w:r>
          </w:p>
        </w:tc>
        <w:tc>
          <w:tcPr>
            <w:tcW w:w="19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17.3</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21"/>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94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152.2</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150.2</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Derivative instruments, consisting primarily of forward currency contracts, are used to hedge most foreign currency transactions, including projected sales and purchases denominated in foreign currencies. All derivative instruments are recognized on the Consolidated Balance Sheets at fair value as either assets or liabilities. If the derivative instrument is designated as a cash flow hedging instrument, changes in the fair values of the spot rate component of outstanding, highly effective cash flow hedging instruments included in the assessment of hedge effectiveness are recorded in other comprehensive income within accumulated other comprehensive loss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Derivatives that are not designated as cash flow hedging instruments are adjusted to fair value through other income, net, on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operations is generally the applicable local currency. The functional currency is translated into U.S. dollars using the respective current exchange rate in effect as of the balance sheet date for balance sheet accounts and the respective weighted-average exchange rate during the fiscal year for revenue and expense accounts. The resulting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net in the Consolidated Statements of Earnings.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Debt issuance costs incurred in connection with securing the company’s financing arrangements are capitalized and amortized over the term of the respective financing arrangement under the straight-line method as the results obtained are not materially different from those that would result from the use of the effective interest method. Debt issuance costs are generally presented in the Consolidated Balance Sheets as a direct deduction from the carrying amount of the outstanding borrowings, consistent with debt discounts. However, the company classifies the debt issuance costs related to its $900.0 million five-year senior unsecured revolving credit facility ("revolving credit facility") within other assets on the Consolidated Balance Sheets, regardless of whether the company has any outstanding borrowings on the revolving credit facility. Debt issuance costs related to borrowings that are fully extinguished in advance of the maturity date are charged to expense at the time of retirement of the borrowings. Debt issuance costs, net of accumulated amortization, were $4.5 million and $4.6 million as of October 31, 2025 and 2024,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tax expense in the period that includes the enactment date. A valuation allowance is provided when, in management's judgment, it is more likely than not that some portion or all of the deferred tax asset will not be realized. The company believes it has reflected the necessary deferred tax assets and liabilities in the accompanying Consolidated Balance Sheets. Management believes the future tax deductions will be realized principally through future taxable income, future reversals of existing taxable temporary differences, and carryback to taxable income in prior years.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it is more likely than not that those positions will be sustained. Recognized income tax positions are measured at the largest amount that is greater than 50.0 percent likely to be realized. Changes in recognition or measurement are reflected in the period in which the change in judgment occurs. The company also records interest and penalties related to unrecognized tax benefits within income tax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source of revenue is generated through the sale of equipment and irrigation products, as well as rendering of services to its customers. As a result, the company enters into contracts with its customers for the sale of products or rendering of services in the ordinary course of business, which generally occurs at the time the company receives and accepts a purchase or sales order under a sales contract with a customer. The company recognizes revenue when, or as, performance obligations under the terms of a contract with its customer are satisfied, which generally occurs with the transfer of control of product or services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as a result of variable consideration. Variable consideration is recorded at the time revenue is recognized as a reduction of the transaction price and typically occurs as a result of certain of the company's sales promotion and incentive programs offered to customers that are determined to represent price concessions, as well as anticipated product returns, when applicable.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Promotions and Incentives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time revenue is recognized, the company records a reduction of the transaction price for the variable consideration associated with certain of the company's sales promotions and incentives programs offered to customers that are determined to represent price concessions. The expense of each sales promotion and incentive program is classified as a reduction from gross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or as a component of selling, general and administrative expense within the Consolidated Statements of Earnings when revenue is recognized, depending on the nature of the program. Generally, the cost of a program is recorded as a reduction from gross sales when revenue is recognized and thus, is considered to be variable consideration, if the expense is determined to represent a price concession because the program either (i) results in an immediate reduction of the transaction price with no anticipated future costs or consideration provided to the customer or (ii) the company anticipates future costs based on historical or expected future business practice for which the company does not receive a distinct good or service in exchange for the future consideration provided to the customer under the program. In other circumstances, the anticipated future cost of a program based on historical or expected future business practice is recorded as selling, general and administrative expense because the company receives a distinct good or service in exchange for the future consideration provided to the customer under the program.</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considered to be variable consideration because the cost of the program is classified as a reduction from gross sales are as follows:</w:t>
      </w:r>
    </w:p>
    <w:p>
      <w:pPr>
        <w:spacing w:after="0" w:line="50" w:lineRule="exact"/>
        <w:rPr>
          <w:sz w:val="20"/>
          <w:szCs w:val="20"/>
          <w:color w:val="auto"/>
        </w:rPr>
      </w:pPr>
    </w:p>
    <w:p>
      <w:pPr>
        <w:ind w:left="340" w:hanging="332"/>
        <w:spacing w:after="0" w:line="263" w:lineRule="auto"/>
        <w:tabs>
          <w:tab w:leader="none" w:pos="3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Off-Invoice Discounts: </w:t>
      </w:r>
      <w:r>
        <w:rPr>
          <w:rFonts w:ascii="Times New Roman" w:cs="Times New Roman" w:eastAsia="Times New Roman" w:hAnsi="Times New Roman"/>
          <w:sz w:val="18"/>
          <w:szCs w:val="18"/>
          <w:color w:val="auto"/>
        </w:rPr>
        <w:t>The company's off-invoice discounts represent an immediate reduction in the selling price of the company's products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realized at the time of sale with no anticipated future cost or consideration provided to the customer.</w:t>
      </w:r>
    </w:p>
    <w:p>
      <w:pPr>
        <w:jc w:val="both"/>
        <w:ind w:left="340" w:hanging="332"/>
        <w:spacing w:after="0" w:line="250" w:lineRule="auto"/>
        <w:tabs>
          <w:tab w:leader="none" w:pos="3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Rebate Programs: </w:t>
      </w:r>
      <w:r>
        <w:rPr>
          <w:rFonts w:ascii="Times New Roman" w:cs="Times New Roman" w:eastAsia="Times New Roman" w:hAnsi="Times New Roman"/>
          <w:sz w:val="18"/>
          <w:szCs w:val="18"/>
          <w:color w:val="auto"/>
        </w:rPr>
        <w:t>The company's rebate programs are generally based on claims submitted from either the company's direct customers or end-users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products or are based on purchase or retail sales goals for the company's direct customers of certain quantities or mixes of product during a specified time period, depending upon the program. The amount of the rebate varies based on the specific program and is either a dollar amount or a percentage of the purchase price and can also be based on actual retail price as compared to the company's selling price. Consideration is typically provided to the company's customers for the company's rebate programs after the initial sale of the company's products to the company's direct customers and thus, there is generally an anticipated future cost at the time revenue is recognized based on historical and expected future business practice.</w:t>
      </w:r>
    </w:p>
    <w:p>
      <w:pPr>
        <w:spacing w:after="0" w:line="2" w:lineRule="exact"/>
        <w:rPr>
          <w:rFonts w:ascii="Times New Roman" w:cs="Times New Roman" w:eastAsia="Times New Roman" w:hAnsi="Times New Roman"/>
          <w:sz w:val="18"/>
          <w:szCs w:val="18"/>
          <w:b w:val="1"/>
          <w:bCs w:val="1"/>
          <w:color w:val="auto"/>
        </w:rPr>
      </w:pPr>
    </w:p>
    <w:p>
      <w:pPr>
        <w:jc w:val="both"/>
        <w:ind w:left="340" w:hanging="332"/>
        <w:spacing w:after="0" w:line="252" w:lineRule="auto"/>
        <w:tabs>
          <w:tab w:leader="none" w:pos="3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Financing Programs: </w:t>
      </w:r>
      <w:r>
        <w:rPr>
          <w:rFonts w:ascii="Times New Roman" w:cs="Times New Roman" w:eastAsia="Times New Roman" w:hAnsi="Times New Roman"/>
          <w:sz w:val="18"/>
          <w:szCs w:val="18"/>
          <w:color w:val="auto"/>
        </w:rPr>
        <w:t>The company's financing programs consist of inventory financing arrangements with financial institutions and end-user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Costs incurred for inventory financing arrangements represent dealer and distributor financing costs shared by the company for a pre-established length of time based on a predefined rate from the contract between the company and the financial institution to finance dealer and distributor inventory purchases. Inventory financing arrangement costs were $79.4 million, $100.9 million, and $114.7 million for the fiscal years ended October 31, 2025, 2024, and 2023, respectively. End-user financing is offered to end-user customers under which the company, at its discretion, may pay a portion of interest costs on behalf of end-users for financing purchases of the company's equipment.</w:t>
      </w:r>
    </w:p>
    <w:p>
      <w:pPr>
        <w:spacing w:after="0" w:line="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not considered to be variable consideration because the cost of the program is classified as a component of selling, general, and administrative expense are as follows:</w:t>
      </w:r>
    </w:p>
    <w:p>
      <w:pPr>
        <w:spacing w:after="0" w:line="50" w:lineRule="exact"/>
        <w:rPr>
          <w:sz w:val="20"/>
          <w:szCs w:val="20"/>
          <w:color w:val="auto"/>
        </w:rPr>
      </w:pPr>
    </w:p>
    <w:p>
      <w:pPr>
        <w:jc w:val="both"/>
        <w:ind w:left="340" w:hanging="332"/>
        <w:spacing w:after="0" w:line="254" w:lineRule="auto"/>
        <w:tabs>
          <w:tab w:leader="none" w:pos="33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Commissions Paid to Distributors and Dealers: </w:t>
      </w:r>
      <w:r>
        <w:rPr>
          <w:rFonts w:ascii="Times New Roman" w:cs="Times New Roman" w:eastAsia="Times New Roman" w:hAnsi="Times New Roman"/>
          <w:sz w:val="18"/>
          <w:szCs w:val="18"/>
          <w:color w:val="auto"/>
        </w:rPr>
        <w:t>For certain products, the company uses a distribution network of dealers and distributors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take possession of products for sale to the end customer. The company also has dealers and distributors that act as sales agents for it on certain products using a direct-selling type model. Under this direct-selling type model, the company's network of distributors and dealers facilitates a sale directly to the dealer or end-user customer on its behalf. Commissions to distributors and dealers in these instances represent commission payments to sales agents that are also its customers. In addition, TTC dealers are often paid a commission to set up and deliver riding product purchased at certain mass retail and home centers.</w:t>
      </w:r>
    </w:p>
    <w:p>
      <w:pPr>
        <w:spacing w:after="0" w:line="3"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3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Cooperative Advertising: </w:t>
      </w:r>
      <w:r>
        <w:rPr>
          <w:rFonts w:ascii="Times New Roman" w:cs="Times New Roman" w:eastAsia="Times New Roman" w:hAnsi="Times New Roman"/>
          <w:sz w:val="18"/>
          <w:szCs w:val="18"/>
          <w:color w:val="auto"/>
        </w:rPr>
        <w:t>Cooperative advertising programs are based on advertising costs incurred by distributors and dealers for promoting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products. The company supports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Regardless of classification of the cost of the sales promotion and incentive program within the Consolidated Statements of Earnings, the company records an accrual within the Consolidated Balance Sheets for the estimated future expense of certain of its sales promotion and incentive programs for which the company anticipates a future cost based on historical or expected future business practice by using the expected value method and applying the portfolio approach practical expedient under the accounting standards codification guidance for revenue from contracts with customers. Under such approach, the company's determination of variable consideration and the related accrual associated with the estimated expense of certain of the company's sales promotions and incentives programs is primarily based on the terms of the sales arrangements and sales promotion and incentive programs with customers, historical payment and rebate claims experience, field inventory levels,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quantity or mix of products purchased, projected sales volumes, types of programs offered, and expectations for the acceptance of sales promotion and incentive programs offered in the future or changes in other relevant trends.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sales is primarily comprised of direct materials and supplies consumed to manufacture the company's products, as well as compensations costs for manufacturing labor and direct overhead expense necessary to convert direct materials and supplies into finished product. Cost of sales also includes freight costs for the procurement of direct materials and supplies and shipping products to customers; charges associated with inventory valuation adjustments for excess, slow-moving, and obsolete inventory; depreciation and amortization expense on manufacturing-related tangible and intangible assets; operating lease expense related to leased manufacturing assets; cost of services provided; cash discounts on payments to vendors, and other manufacturing-related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is primarily comprised of compensation costs for non-manufacturing labor, occupancy and operating costs of distribution and corporate facilities, warranty expense, depreciation and amortization expense on non-manufacturing tangible and intangible assets, operating lease expense related to leased non-manufacturing assets; advertising, marketing, and selling expenses, engineering and research costs, information systems costs, and other miscellaneous administrative costs, such as legal costs for internal and outside services that are expensed as incurred.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advertising costs are expensed in the period incurred. Cooperative advertising represents expenditures for shared advertising costs that the company reimburses to customers and is classified as a component of selling, general and administrative expense within the Consolidated Statements of Earnings. These obligations are accrued and expensed when the related revenues are recognized in accordance with the sales promotion and incentive programs established for certain product lines. Advertising costs were $66.4 million, $69.5 million, and $77.6 million for the fiscal years ended October 31, 2025, 2024, and 2023,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and Research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engineering and research costs are expensed as incurred as a component of selling, general and administrative expense within the Consolidated Statements of Earnings and are primarily incurred in connection with the development of new products that may have additional applications or represent extensions of existing product lines, improvements or enhancements to existing products, and cost reduction efforts. Costs incurred for engineering and research activities were $162.3 million, $173.1 million, and $173.9 million for the fiscal years ended October 31, 2025, 2024, and 2023,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stock-based compensation awards are generally granted to executive officers, other employees, and non-employee members of the company's Board of Directors ("Board"), and include unrestricted common stock awards, performance share awards that are contingent on the achievement of performance goals of the company, non-qualified stock options, and restricted stock units. Generally, compensation expense equal to the grant date fair value determined under the Black-Scholes valuation method is recognized for these awards over the vesting period and is classified in selling, general and administrative expense within the Consolidated Statements of Earnings. For stock options and restricted stock units, expense recognized for other employees not considered executive officers and non-employee Board members is net of estimated forfeitures, which is based on historical forfeiture experience. Stock options granted to executive officers and other employees are subject to accelerated expensing if the option holder meets the retirement definition set forth in the applicable equity and incentive plan document.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For additional information on The Toro Company 2022 Equity and Incentive Plan, refer to Note 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primarily consists of the company's proportionate share of income or losses from Red Iron, gains or losses on divestitures, realized foreign currency exchange rate gains and losses, interest and dividend income, gains or losses recognized on actuarial valuation changes for our pension and post-retirement plans, retail financing revenue, and other miscellaneous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net earnings per share is calculated as net earnings available to common stockholders divided by the weighted-average number of shares of common stock outstanding during the year plus the assumed issuance of contingent shares related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share awards under the company's equity and incentive plans.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stock units.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basic and diluted weighted-average shares of common stock outstanding are as follows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top w:val="single" w:sz="8" w:color="auto"/>
              <w:bottom w:val="single" w:sz="8" w:color="auto"/>
            </w:tcBorders>
          </w:tcPr>
          <w:p>
            <w:pPr>
              <w:spacing w:after="0"/>
              <w:rPr>
                <w:sz w:val="18"/>
                <w:szCs w:val="18"/>
                <w:color w:val="auto"/>
              </w:rPr>
            </w:pPr>
          </w:p>
        </w:tc>
        <w:tc>
          <w:tcPr>
            <w:tcW w:w="59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9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8"/>
        </w:trPr>
        <w:tc>
          <w:tcPr>
            <w:tcW w:w="20" w:type="dxa"/>
            <w:vAlign w:val="bottom"/>
            <w:shd w:val="clear" w:color="auto" w:fill="CCEEFF"/>
          </w:tcPr>
          <w:p>
            <w:pPr>
              <w:spacing w:after="0"/>
              <w:rPr>
                <w:sz w:val="12"/>
                <w:szCs w:val="12"/>
                <w:color w:val="auto"/>
              </w:rPr>
            </w:pPr>
          </w:p>
        </w:tc>
        <w:tc>
          <w:tcPr>
            <w:tcW w:w="598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Basic</w:t>
            </w:r>
          </w:p>
        </w:tc>
        <w:tc>
          <w:tcPr>
            <w:tcW w:w="19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54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Weighted-average number of shares of common stock</w:t>
            </w:r>
          </w:p>
        </w:tc>
        <w:tc>
          <w:tcPr>
            <w:tcW w:w="19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rPr>
              <w:t>99.5</w:t>
            </w: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103.8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w:t>
            </w:r>
          </w:p>
        </w:tc>
      </w:tr>
      <w:tr>
        <w:trPr>
          <w:trHeight w:val="221"/>
        </w:trPr>
        <w:tc>
          <w:tcPr>
            <w:tcW w:w="20" w:type="dxa"/>
            <w:vAlign w:val="bottom"/>
            <w:tcBorders>
              <w:bottom w:val="single" w:sz="8" w:color="auto"/>
            </w:tcBorders>
            <w:shd w:val="clear" w:color="auto" w:fill="CCEEFF"/>
          </w:tcPr>
          <w:p>
            <w:pPr>
              <w:spacing w:after="0"/>
              <w:rPr>
                <w:sz w:val="18"/>
                <w:szCs w:val="18"/>
                <w:color w:val="auto"/>
              </w:rPr>
            </w:pPr>
          </w:p>
        </w:tc>
        <w:tc>
          <w:tcPr>
            <w:tcW w:w="59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number of shares of common stock outstanding – Basic</w:t>
            </w:r>
          </w:p>
        </w:tc>
        <w:tc>
          <w:tcPr>
            <w:tcW w:w="19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99.5</w:t>
            </w:r>
          </w:p>
        </w:tc>
        <w:tc>
          <w:tcPr>
            <w:tcW w:w="7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103.8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5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5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5980" w:type="dxa"/>
            <w:vAlign w:val="bottom"/>
            <w:tcBorders>
              <w:bottom w:val="single" w:sz="8" w:color="auto"/>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9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Weighted-average number of shares of common stock outstanding – Basic</w:t>
            </w:r>
          </w:p>
        </w:tc>
        <w:tc>
          <w:tcPr>
            <w:tcW w:w="1960" w:type="dxa"/>
            <w:vAlign w:val="bottom"/>
          </w:tcPr>
          <w:p>
            <w:pPr>
              <w:spacing w:after="0"/>
              <w:rPr>
                <w:sz w:val="16"/>
                <w:szCs w:val="16"/>
                <w:color w:val="auto"/>
              </w:rPr>
            </w:pPr>
          </w:p>
        </w:tc>
        <w:tc>
          <w:tcPr>
            <w:tcW w:w="140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99.5</w:t>
            </w:r>
          </w:p>
        </w:tc>
        <w:tc>
          <w:tcPr>
            <w:tcW w:w="7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103.8</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59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9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0.3</w:t>
            </w:r>
          </w:p>
        </w:tc>
        <w:tc>
          <w:tcPr>
            <w:tcW w:w="7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0.6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96"/>
        </w:trPr>
        <w:tc>
          <w:tcPr>
            <w:tcW w:w="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Weighted-average number of shares of common stock outstanding – Diluted</w:t>
            </w:r>
          </w:p>
        </w:tc>
        <w:tc>
          <w:tcPr>
            <w:tcW w:w="19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rPr>
              <w:t>99.8</w:t>
            </w: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104.4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Incremental shares from stock options and restricted stock units are computed under the treasury stock method. Stock option awards to purchase 2,105,818, 1,738,948, and 573,662 shares of common stock during fiscal 2025, 2024, and 2023, respectively, were excluded from the computation of diluted net earnings per share of common stock because they were anti-dilutive.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accounting standard update ("ASU") No. 2025-06, Intangibles—Goodwill and Other—Internal-Use Software (Subtopic 350-40): Targeted Improvements to the Accounting for Internal-Use Software, which is intended to modernize the accounting for software costs that are accounted for under Subtopic 350-40 by replacing the stage-based model with a principles-based approach. The amended guidance will become effective for the company's fiscal 2029 annual period and interim periods beginning with the first quarter of fiscal 2029. Early adoption is permitted. The company is currently evaluating the impact of this new standard on its Consolidated Financial Statements and related disclosures.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Instruments—Credit Losses (Topic 326): Measurement of Credit Losses for Accounts Receivable and Contract Assets, which is intended to improve guidance on the measurement of credit losses on accounts receivable and contract assets. The amended guidance is optional and, if the company elects the practical expedient and accounting policy election, will become effective for the company's fiscal 2027 annual period and interim periods beginning with the first quarter of fiscal 2027. Early adoption is permitted. The company is currently evaluating the impact of this new standard on its Consolidated Financial Statements and related disclosures.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which is intended to improve disclosures about a public business entity’s expenses by requiring disaggregated quantitative disclosure, in the notes to the financial statements, of prescribed expense categories included within relevant income statement expense captions. The amended guidance will become effective for the company's fiscal 2028 annual period, and interim periods beginning with the first quarter of fiscal 2029. The company is currently evaluating the impact of this new standard on its Consolidated Financial Statements and related disclosures.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is designed to enhance the transparency and decision usefulness of income tax disclosures primarily related to the rate reconciliation and income taxes paid information. The amended guidance will become effective for the company's fiscal 2026 annual period. The company is currently evaluating the impact of this new standard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Segment Reporting (Topic 280): Improvements to Reportable Segment Disclosures, which is intended to enhance reportable segment disclosure requirements, primarily through additional, more detailed disclosures about significant segment expenses. The ASU requires disclosures to include significant segment expenses that are regularly provided to the chief operating decision maker ("CODM"), an amount for other segment items by reportable segment and a description of its composition, and the title and position of the CODM and an explanation of how the CODM uses the reported measure of segment profit or loss in assessing segment performance and deciding how to allocate resources. The ASU also requires all annual disclosures currently required by Topic 280 to be included in interim periods. The amended guidance was adopted for the company's fiscal 2025 annual period and did not have a material impact on the company's Consolidated Financial Statements. For additional information regarding the company's reportable segments disclosure, refer to Note 3, </w:t>
      </w:r>
      <w:r>
        <w:rPr>
          <w:rFonts w:ascii="Times New Roman" w:cs="Times New Roman" w:eastAsia="Times New Roman" w:hAnsi="Times New Roman"/>
          <w:sz w:val="18"/>
          <w:szCs w:val="18"/>
          <w:i w:val="1"/>
          <w:iCs w:val="1"/>
          <w:color w:val="auto"/>
        </w:rPr>
        <w:t>Segment Data.</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2022, the FASB issued ASU No. 2022-04, Supplier Finance Programs (Subtopic 405-50): Disclosure of Supplier Finance Program Obligations. The new standard requires disclosure of the key terms of supplier finance programs, the associated obligations outstanding, and a description of where those obligations are presented in the balance sheet. Additionally, effective for the company's fiscal 2025 annual period, the new standard requires a rollforward of the associated obligations outstanding during the annual period, including the amount of obligations confirmed and the amount of obligations subsequently paid. The amended guidance was adopted in the first quarter of fiscal 2024 and did not have a material impact on the company's Consolidated Financial Statements. The rollforward required by this standard was adopted for the fiscal 2025 annual period in this Annual Report on Form 10-K. For additional information regarding the company's supplier finance program, refer to the "Accounts Payable" subsection of Note 1,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 and Related Data</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all other recently issued accounting pronouncements from the FASB that the company has not noted above will not have a material impact on its Consolidated Financial Statements or do not apply to its operations.</w:t>
      </w:r>
    </w:p>
    <w:p>
      <w:pPr>
        <w:spacing w:after="0" w:line="83" w:lineRule="exact"/>
        <w:rPr>
          <w:sz w:val="20"/>
          <w:szCs w:val="20"/>
          <w:color w:val="auto"/>
        </w:rPr>
      </w:pPr>
    </w:p>
    <w:p>
      <w:pPr>
        <w:ind w:left="620" w:hanging="594"/>
        <w:spacing w:after="0"/>
        <w:tabs>
          <w:tab w:leader="none" w:pos="620" w:val="left"/>
        </w:tabs>
        <w:numPr>
          <w:ilvl w:val="0"/>
          <w:numId w:val="34"/>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Acquisitions and Divestitures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Distributor Acquisition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2025, during the second quarter of fiscal 2025, the company completed the acquisition of certain technology assets and substantially all of the assets of, and assumed certain liabilities for, a U.S. based distributor of underground construction equipment. The purchase price of this acquisition was allocated to the identifiable assets acquired and liabilities assumed based on estimates of their fair value and no goodwill or indefinite-lived intangible assets were recorded. The company finalized the purchase accounting for this acquisition during the second quarter of fiscal 2025. Additional purchase accounting disclosures have been omitted due to immateriality of this acquisition in relation to the company's Consolidated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Auger Boring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2025, the company completed the sale of assets related to the auger boring product line, a subset of the American Augers brand. The financial results have historically been included in the company's Professional segment. The divestiture was immaterial in relation to the company's Consolidated Financial Condition and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Trencor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2025, the company completed the sale of assets related to the Trencor brand. The financial results have historically been included in the company's Professional segment. The divestiture was immaterial in relation to the company's Consolidated Financial Condition and Results of Operations.</w:t>
      </w:r>
    </w:p>
    <w:p>
      <w:pPr>
        <w:spacing w:after="0" w:line="97" w:lineRule="exact"/>
        <w:rPr>
          <w:sz w:val="20"/>
          <w:szCs w:val="20"/>
          <w:color w:val="auto"/>
        </w:rPr>
      </w:pPr>
    </w:p>
    <w:p>
      <w:pPr>
        <w:ind w:left="620" w:hanging="594"/>
        <w:spacing w:after="0"/>
        <w:tabs>
          <w:tab w:leader="none" w:pos="620" w:val="left"/>
        </w:tabs>
        <w:numPr>
          <w:ilvl w:val="0"/>
          <w:numId w:val="35"/>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Segment Data</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businesses are organized, managed, and internally grouped into segments based on similarities in products and services. Segment determination is based on the manner in which the CODM organizes segments for making operating and investment decisions and assessing performance. In the fourth quarter of fiscal 2025, the company modified the level at which information was being reviewed, including modification to the reporting packages and materials regularly reviewed by the CODM to evaluate the company’s operating results to assess performance and allocate resources. As a result, the company has identified eight operating segments and has aggregated certain of those operating segments into two reportable segments: Professional and Residential. The aggregation of the company's segments is based on the segments having the following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similarities: economic characteristics, types of products and services, types of production processes, type or class of customers, and method of distribution. For a summary of our products by market for our Professional and Residential reportable segments, refer to refer to Part I, Item 1, "Business," of this Annual Report on Form 10-K.</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remaining activities consists of a wholly-owned domestic distribution company, certain corporate activities, and the elimination of intersegment revenues and expenses. Corporate activities include general corporate expenditures (finance, human resources, legal, information technology, public relations, business development, and similar activities) and other unallocated corporate assets and liabilities, such as corporate facilities, severance and termination benefits, facility exit costs, and deferred tax assets and liabilities. These remaining activities are presented as "Other" due to their insignificance.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CODM is the Chairman of the Board and Chief Executive Officer. The CODM predominantly evaluates the performance of our segments using earnings before interest and taxes (“EBIT”). This metric provides our CODM with a comprehensive view of each segment’s profitability, enabling informed decision-making and effective resource allocation. The CODM regularly reviews EBIT to monitor progress against performance targets, focusing on actual-to-plan variances. These assessments help identify trends, compare segment profitability, and determine whether additional resources or strategic adjustments are necessary to achieve guideline goals. Additionally, the significant expense categories regularly reviewed by the CODM include cost of sales, SG&amp;A, non-cash charges, such as impairment, and other income (expense) items. These other items consist of foreign currency gains and losses, interest income and expense, gains and losses from sales of fixed assets, and income and losses from equity method investments and business divestitures.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accounting policies of the reportable business segments are the same as those described in the summary of significant accounting policies in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The company evaluates the performance of its Professional and Residential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segment results based on EBIT which includes allocated expenses that these operations would have incurred otherwise, but does not include general corporate expenses, interest expense, and income taxes. EBIT for the company's Other activities includes earnings (loss) from a domestic wholly-owned distribution company, certain corporate activities, non-cash impairment charges, other income, and interest expense. The company accounts for intersegment gross sales at current market prices.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concerning the company's reportable business segments and Other activities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2025</w:t>
            </w:r>
          </w:p>
        </w:tc>
        <w:tc>
          <w:tcPr>
            <w:tcW w:w="17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to external customers</w:t>
            </w:r>
          </w:p>
        </w:tc>
        <w:tc>
          <w:tcPr>
            <w:tcW w:w="1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3,561.0</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858.3</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91.1</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4,510.4</w:t>
            </w:r>
          </w:p>
        </w:tc>
      </w:tr>
      <w:tr>
        <w:trPr>
          <w:trHeight w:val="19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Intersegment gross sales (eliminations)</w:t>
            </w:r>
          </w:p>
        </w:tc>
        <w:tc>
          <w:tcPr>
            <w:tcW w:w="1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63.0</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(63.1)</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sales</w:t>
            </w:r>
          </w:p>
        </w:tc>
        <w:tc>
          <w:tcPr>
            <w:tcW w:w="17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3,624.0</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858.4</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4,510.4</w:t>
            </w: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7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2,255.1</w:t>
            </w:r>
          </w:p>
        </w:tc>
        <w:tc>
          <w:tcPr>
            <w:tcW w:w="2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698.0</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52.5</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3,005.6</w:t>
            </w: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670.0</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125.3</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1,013.8</w:t>
            </w:r>
          </w:p>
        </w:tc>
      </w:tr>
      <w:tr>
        <w:trPr>
          <w:trHeight w:val="203"/>
        </w:trPr>
        <w:tc>
          <w:tcPr>
            <w:tcW w:w="410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Non-cash impairment charge</w:t>
            </w:r>
            <w:r>
              <w:rPr>
                <w:rFonts w:ascii="Times New Roman" w:cs="Times New Roman" w:eastAsia="Times New Roman" w:hAnsi="Times New Roman"/>
                <w:sz w:val="18"/>
                <w:szCs w:val="18"/>
                <w:color w:val="auto"/>
                <w:vertAlign w:val="superscript"/>
              </w:rPr>
              <w:t>1</w:t>
            </w:r>
          </w:p>
        </w:tc>
        <w:tc>
          <w:tcPr>
            <w:tcW w:w="17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81.1</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r>
      <w:tr>
        <w:trPr>
          <w:trHeight w:val="196"/>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7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195"/>
        </w:trPr>
        <w:tc>
          <w:tcPr>
            <w:tcW w:w="4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Earnings (loss) before interest and taxes</w:t>
            </w:r>
          </w:p>
        </w:tc>
        <w:tc>
          <w:tcPr>
            <w:tcW w:w="1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702.5</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35.8</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(301.6)</w:t>
            </w:r>
          </w:p>
        </w:tc>
        <w:tc>
          <w:tcPr>
            <w:tcW w:w="3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w:t>
            </w: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r>
      <w:tr>
        <w:trPr>
          <w:trHeight w:val="19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196"/>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7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316.1</w:t>
            </w: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2024</w:t>
            </w:r>
          </w:p>
        </w:tc>
        <w:tc>
          <w:tcPr>
            <w:tcW w:w="17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to external customers</w:t>
            </w:r>
          </w:p>
        </w:tc>
        <w:tc>
          <w:tcPr>
            <w:tcW w:w="1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3,507.7</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997.9</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78.2</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4,583.8</w:t>
            </w:r>
          </w:p>
        </w:tc>
      </w:tr>
      <w:tr>
        <w:trPr>
          <w:trHeight w:val="19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Intersegment gross sales (eliminations)</w:t>
            </w:r>
          </w:p>
        </w:tc>
        <w:tc>
          <w:tcPr>
            <w:tcW w:w="1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49.2</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(49.6)</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sales</w:t>
            </w:r>
          </w:p>
        </w:tc>
        <w:tc>
          <w:tcPr>
            <w:tcW w:w="17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3,556.9</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998.3</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28.6</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4,583.8</w:t>
            </w: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7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2,236.1</w:t>
            </w:r>
          </w:p>
        </w:tc>
        <w:tc>
          <w:tcPr>
            <w:tcW w:w="2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783.7</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3,034.5</w:t>
            </w: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692.2</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183.1</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1,016.0</w:t>
            </w:r>
          </w:p>
        </w:tc>
      </w:tr>
      <w:tr>
        <w:trPr>
          <w:trHeight w:val="19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26.6</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r>
      <w:tr>
        <w:trPr>
          <w:trHeight w:val="203"/>
        </w:trPr>
        <w:tc>
          <w:tcPr>
            <w:tcW w:w="4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Earnings (loss) before interest and taxes</w:t>
            </w:r>
          </w:p>
        </w:tc>
        <w:tc>
          <w:tcPr>
            <w:tcW w:w="1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638.9</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(142.6)</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574.7</w:t>
            </w: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r>
      <w:tr>
        <w:trPr>
          <w:trHeight w:val="203"/>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7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r>
      <w:tr>
        <w:trPr>
          <w:trHeight w:val="19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418.9</w:t>
            </w: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2023</w:t>
            </w:r>
          </w:p>
        </w:tc>
        <w:tc>
          <w:tcPr>
            <w:tcW w:w="17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to external customers</w:t>
            </w:r>
          </w:p>
        </w:tc>
        <w:tc>
          <w:tcPr>
            <w:tcW w:w="1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3,628.8</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854.0</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70.4</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4,553.2</w:t>
            </w:r>
          </w:p>
        </w:tc>
      </w:tr>
      <w:tr>
        <w:trPr>
          <w:trHeight w:val="19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Intersegment gross sales (eliminations)</w:t>
            </w:r>
          </w:p>
        </w:tc>
        <w:tc>
          <w:tcPr>
            <w:tcW w:w="1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45.8</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(46.0)</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sales</w:t>
            </w:r>
          </w:p>
        </w:tc>
        <w:tc>
          <w:tcPr>
            <w:tcW w:w="17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3,674.6</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854.2</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24.4</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4,553.2</w:t>
            </w: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7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2,324.7</w:t>
            </w:r>
          </w:p>
        </w:tc>
        <w:tc>
          <w:tcPr>
            <w:tcW w:w="2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647.0</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2,975.6</w:t>
            </w: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694.1</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995.6</w:t>
            </w: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9"/>
                <w:szCs w:val="9"/>
                <w:color w:val="auto"/>
              </w:rPr>
              <w:t>2</w:t>
            </w:r>
          </w:p>
        </w:tc>
        <w:tc>
          <w:tcPr>
            <w:tcW w:w="17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151.3</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r>
      <w:tr>
        <w:trPr>
          <w:trHeight w:val="203"/>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7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0.5</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23.4</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195"/>
        </w:trPr>
        <w:tc>
          <w:tcPr>
            <w:tcW w:w="4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Earnings (loss) before interest and taxes</w:t>
            </w:r>
          </w:p>
        </w:tc>
        <w:tc>
          <w:tcPr>
            <w:tcW w:w="1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660.4</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68.9</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(270.1)</w:t>
            </w:r>
          </w:p>
        </w:tc>
        <w:tc>
          <w:tcPr>
            <w:tcW w:w="3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459.2</w:t>
            </w: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r>
      <w:tr>
        <w:trPr>
          <w:trHeight w:val="19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w:t>
            </w:r>
          </w:p>
        </w:tc>
      </w:tr>
      <w:tr>
        <w:trPr>
          <w:trHeight w:val="196"/>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7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w:t>
            </w:r>
          </w:p>
        </w:tc>
      </w:tr>
    </w:tbl>
    <w:p>
      <w:pPr>
        <w:spacing w:after="0" w:line="185" w:lineRule="exact"/>
        <w:rPr>
          <w:sz w:val="20"/>
          <w:szCs w:val="20"/>
          <w:color w:val="auto"/>
        </w:rPr>
      </w:pPr>
    </w:p>
    <w:p>
      <w:pPr>
        <w:ind w:firstLine="8"/>
        <w:spacing w:after="0" w:line="268" w:lineRule="auto"/>
        <w:tabs>
          <w:tab w:leader="none" w:pos="70"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Other activities earnings (loss) before interest and taxes includes an $81.1 million non-cash impairment charge recorded during the third quarter of fiscal 2025 related to the Spartan trade name. For additional information regarding the impairment charge, refer to </w:t>
      </w:r>
      <w:r>
        <w:rPr>
          <w:rFonts w:ascii="Times New Roman" w:cs="Times New Roman" w:eastAsia="Times New Roman" w:hAnsi="Times New Roman"/>
          <w:sz w:val="13"/>
          <w:szCs w:val="13"/>
          <w:color w:val="auto"/>
        </w:rPr>
        <w:t>Note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i w:val="1"/>
          <w:iCs w:val="1"/>
          <w:color w:val="auto"/>
        </w:rPr>
        <w:t>Summary of Significant Accounting Policies and Related Data</w:t>
      </w:r>
      <w:r>
        <w:rPr>
          <w:rFonts w:ascii="Times New Roman" w:cs="Times New Roman" w:eastAsia="Times New Roman" w:hAnsi="Times New Roman"/>
          <w:sz w:val="13"/>
          <w:szCs w:val="13"/>
          <w:color w:val="auto"/>
        </w:rPr>
        <w:t>.</w:t>
      </w:r>
    </w:p>
    <w:p>
      <w:pPr>
        <w:spacing w:after="0" w:line="62" w:lineRule="exact"/>
        <w:rPr>
          <w:sz w:val="20"/>
          <w:szCs w:val="20"/>
          <w:color w:val="auto"/>
        </w:rPr>
      </w:pPr>
    </w:p>
    <w:p>
      <w:pPr>
        <w:ind w:firstLine="8"/>
        <w:spacing w:after="0" w:line="298" w:lineRule="auto"/>
        <w:tabs>
          <w:tab w:leader="none" w:pos="82"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Presentation of fiscal 2023 non-cash impairment charges related to the Spartan operating segment has been conformed to the current year presentation within the 'Other' activities. There was no change to consolidated results.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2025</w:t>
            </w:r>
          </w:p>
        </w:tc>
        <w:tc>
          <w:tcPr>
            <w:tcW w:w="19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2,503.7</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409.6</w:t>
            </w:r>
          </w:p>
        </w:tc>
        <w:tc>
          <w:tcPr>
            <w:tcW w:w="96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525.5</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3,438.8</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19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62.8</w:t>
            </w:r>
          </w:p>
        </w:tc>
        <w:tc>
          <w:tcPr>
            <w:tcW w:w="2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w:t>
            </w:r>
          </w:p>
        </w:tc>
        <w:tc>
          <w:tcPr>
            <w:tcW w:w="96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13.2</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r>
      <w:tr>
        <w:trPr>
          <w:trHeight w:val="203"/>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93.8</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21.6</w:t>
            </w:r>
          </w:p>
        </w:tc>
        <w:tc>
          <w:tcPr>
            <w:tcW w:w="96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2024</w:t>
            </w:r>
          </w:p>
        </w:tc>
        <w:tc>
          <w:tcPr>
            <w:tcW w:w="19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2,673.6</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521.2</w:t>
            </w:r>
          </w:p>
        </w:tc>
        <w:tc>
          <w:tcPr>
            <w:tcW w:w="96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388.0</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3,582.8</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19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2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c>
          <w:tcPr>
            <w:tcW w:w="96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28.8</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r>
      <w:tr>
        <w:trPr>
          <w:trHeight w:val="203"/>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94.6</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w:t>
            </w:r>
          </w:p>
        </w:tc>
        <w:tc>
          <w:tcPr>
            <w:tcW w:w="96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2023</w:t>
            </w:r>
          </w:p>
        </w:tc>
        <w:tc>
          <w:tcPr>
            <w:tcW w:w="19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2,679.6</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565.1</w:t>
            </w:r>
          </w:p>
        </w:tc>
        <w:tc>
          <w:tcPr>
            <w:tcW w:w="96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399.6</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3,644.3</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19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79.9</w:t>
            </w:r>
          </w:p>
        </w:tc>
        <w:tc>
          <w:tcPr>
            <w:tcW w:w="2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45.6</w:t>
            </w:r>
          </w:p>
        </w:tc>
        <w:tc>
          <w:tcPr>
            <w:tcW w:w="96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r>
      <w:tr>
        <w:trPr>
          <w:trHeight w:val="203"/>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89.3</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w:t>
            </w:r>
          </w:p>
        </w:tc>
        <w:tc>
          <w:tcPr>
            <w:tcW w:w="96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2025, 2024, and 2023, no customers accounted for 10.0 percent or more of total consolidated gross sales.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geographic area data includes net sales based on product shipment destination and long-lived assets, which consist of property, plant, and equipment, net and right-of-use assets and is based on physical location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5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7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3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vMerge w:val="continue"/>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Countries</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2025</w:t>
            </w: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3,632.1</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878.3</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4,510.4</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w:t>
            </w:r>
          </w:p>
        </w:tc>
        <w:tc>
          <w:tcPr>
            <w:tcW w:w="2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572.6</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157.9</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730.5</w:t>
            </w:r>
          </w:p>
        </w:tc>
        <w:tc>
          <w:tcPr>
            <w:tcW w:w="0" w:type="dxa"/>
            <w:vAlign w:val="bottom"/>
          </w:tcPr>
          <w:p>
            <w:pPr>
              <w:spacing w:after="0"/>
              <w:rPr>
                <w:sz w:val="1"/>
                <w:szCs w:val="1"/>
                <w:color w:val="auto"/>
              </w:rPr>
            </w:pPr>
          </w:p>
        </w:tc>
      </w:tr>
      <w:tr>
        <w:trPr>
          <w:trHeight w:val="196"/>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2024</w:t>
            </w: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3,660.8</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923.0</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4,583.8</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Long-lived assets</w:t>
            </w:r>
            <w:r>
              <w:rPr>
                <w:rFonts w:ascii="Times New Roman" w:cs="Times New Roman" w:eastAsia="Times New Roman" w:hAnsi="Times New Roman"/>
                <w:sz w:val="18"/>
                <w:szCs w:val="18"/>
                <w:color w:val="auto"/>
                <w:vertAlign w:val="superscript"/>
              </w:rPr>
              <w:t>1</w:t>
            </w:r>
          </w:p>
        </w:tc>
        <w:tc>
          <w:tcPr>
            <w:tcW w:w="2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582.7</w:t>
            </w:r>
          </w:p>
        </w:tc>
        <w:tc>
          <w:tcPr>
            <w:tcW w:w="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176.6</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759.3</w:t>
            </w: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2023</w:t>
            </w: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3,605.5</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947.7</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4,553.2</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w:t>
            </w:r>
            <w:r>
              <w:rPr>
                <w:rFonts w:ascii="Times New Roman" w:cs="Times New Roman" w:eastAsia="Times New Roman" w:hAnsi="Times New Roman"/>
                <w:sz w:val="18"/>
                <w:szCs w:val="18"/>
                <w:color w:val="auto"/>
                <w:vertAlign w:val="superscript"/>
              </w:rPr>
              <w:t>1</w:t>
            </w:r>
          </w:p>
        </w:tc>
        <w:tc>
          <w:tcPr>
            <w:tcW w:w="2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593.2</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173.8</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0" w:hanging="92"/>
        <w:spacing w:after="0"/>
        <w:tabs>
          <w:tab w:leader="none" w:pos="10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Presentation of fiscal 2024 and fiscal 2023 long-lived assets has been conformed to the current year presentation.</w:t>
      </w:r>
    </w:p>
    <w:p>
      <w:pPr>
        <w:spacing w:after="0" w:line="114" w:lineRule="exact"/>
        <w:rPr>
          <w:sz w:val="20"/>
          <w:szCs w:val="20"/>
          <w:color w:val="auto"/>
        </w:rPr>
      </w:pPr>
    </w:p>
    <w:p>
      <w:pPr>
        <w:ind w:left="620" w:hanging="594"/>
        <w:spacing w:after="0"/>
        <w:tabs>
          <w:tab w:leader="none" w:pos="620" w:val="left"/>
        </w:tabs>
        <w:numPr>
          <w:ilvl w:val="0"/>
          <w:numId w:val="39"/>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Revenue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enters into contracts with its customers for the sale of products or rendering of services in the ordinary course of business. A contract with commercial substance exists at the time the company receives and accepts a purchase or sales order under a sales contract with a customer. The company recognizes revenue when, or as, performance obligations under the terms of a contract with its customer are satisfied, which generally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the variable consideration associated with the estimated expense of certain of the company's sales promotions and incentives programs offered to customers, as well as anticipated product returns, when applicable. The company recognizes a provision for estimated variable consideration at the time revenue is recognized as a reduction of the transaction price.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incurred. Incidental items, including goods or services, that are immaterial in the context of the contract are recognized as expense when incurred. Additionally, the company has elected not to disclose the balance of unfulfilled performance obligations for contracts with a contractual term of twelve months or less.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the company's reportable segment net sales by similar product type and geographic market (dollars in millions):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2025</w:t>
            </w:r>
          </w:p>
        </w:tc>
        <w:tc>
          <w:tcPr>
            <w:tcW w:w="18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by product type:</w:t>
            </w:r>
          </w:p>
        </w:tc>
        <w:tc>
          <w:tcPr>
            <w:tcW w:w="1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3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Equipment</w:t>
            </w:r>
          </w:p>
        </w:tc>
        <w:tc>
          <w:tcPr>
            <w:tcW w:w="1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3,189.4</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856.4</w:t>
            </w:r>
          </w:p>
        </w:tc>
        <w:tc>
          <w:tcPr>
            <w:tcW w:w="100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21.6</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4,067.4</w:t>
            </w:r>
          </w:p>
        </w:tc>
      </w:tr>
      <w:tr>
        <w:trPr>
          <w:trHeight w:val="203"/>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Irrigation</w:t>
            </w:r>
          </w:p>
        </w:tc>
        <w:tc>
          <w:tcPr>
            <w:tcW w:w="18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434.6</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443.0</w:t>
            </w:r>
          </w:p>
        </w:tc>
      </w:tr>
      <w:tr>
        <w:trPr>
          <w:trHeight w:val="196"/>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1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3,624.0</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858.4</w:t>
            </w:r>
          </w:p>
        </w:tc>
        <w:tc>
          <w:tcPr>
            <w:tcW w:w="10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28.0</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4,510.4</w:t>
            </w:r>
          </w:p>
        </w:tc>
      </w:tr>
      <w:tr>
        <w:trPr>
          <w:trHeight w:val="27"/>
        </w:trPr>
        <w:tc>
          <w:tcPr>
            <w:tcW w:w="39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61"/>
        </w:trPr>
        <w:tc>
          <w:tcPr>
            <w:tcW w:w="39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by geographic market:</w:t>
            </w:r>
          </w:p>
        </w:tc>
        <w:tc>
          <w:tcPr>
            <w:tcW w:w="1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3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1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2,863.2</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740.9</w:t>
            </w:r>
          </w:p>
        </w:tc>
        <w:tc>
          <w:tcPr>
            <w:tcW w:w="100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28.0</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3,632.1</w:t>
            </w:r>
          </w:p>
        </w:tc>
      </w:tr>
      <w:tr>
        <w:trPr>
          <w:trHeight w:val="203"/>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International Countries</w:t>
            </w:r>
          </w:p>
        </w:tc>
        <w:tc>
          <w:tcPr>
            <w:tcW w:w="18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760.8</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117.5</w:t>
            </w:r>
          </w:p>
        </w:tc>
        <w:tc>
          <w:tcPr>
            <w:tcW w:w="10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878.3</w:t>
            </w:r>
          </w:p>
        </w:tc>
      </w:tr>
      <w:tr>
        <w:trPr>
          <w:trHeight w:val="196"/>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1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3,624.0</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858.4</w:t>
            </w:r>
          </w:p>
        </w:tc>
        <w:tc>
          <w:tcPr>
            <w:tcW w:w="10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28.0</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4,510.4</w:t>
            </w:r>
          </w:p>
        </w:tc>
      </w:tr>
      <w:tr>
        <w:trPr>
          <w:trHeight w:val="27"/>
        </w:trPr>
        <w:tc>
          <w:tcPr>
            <w:tcW w:w="39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2024</w:t>
            </w:r>
          </w:p>
        </w:tc>
        <w:tc>
          <w:tcPr>
            <w:tcW w:w="18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by product type:</w:t>
            </w:r>
          </w:p>
        </w:tc>
        <w:tc>
          <w:tcPr>
            <w:tcW w:w="1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3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Equipment</w:t>
            </w:r>
          </w:p>
        </w:tc>
        <w:tc>
          <w:tcPr>
            <w:tcW w:w="1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3,133.5</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981.1</w:t>
            </w:r>
          </w:p>
        </w:tc>
        <w:tc>
          <w:tcPr>
            <w:tcW w:w="100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19.6</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4,134.2</w:t>
            </w:r>
          </w:p>
        </w:tc>
      </w:tr>
      <w:tr>
        <w:trPr>
          <w:trHeight w:val="203"/>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Irrigation</w:t>
            </w:r>
          </w:p>
        </w:tc>
        <w:tc>
          <w:tcPr>
            <w:tcW w:w="18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423.4</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w:t>
            </w:r>
          </w:p>
        </w:tc>
        <w:tc>
          <w:tcPr>
            <w:tcW w:w="10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w:t>
            </w:r>
          </w:p>
        </w:tc>
      </w:tr>
      <w:tr>
        <w:trPr>
          <w:trHeight w:val="196"/>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1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3,556.9</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998.3</w:t>
            </w:r>
          </w:p>
        </w:tc>
        <w:tc>
          <w:tcPr>
            <w:tcW w:w="10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28.6</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4,583.8</w:t>
            </w:r>
          </w:p>
        </w:tc>
      </w:tr>
      <w:tr>
        <w:trPr>
          <w:trHeight w:val="27"/>
        </w:trPr>
        <w:tc>
          <w:tcPr>
            <w:tcW w:w="39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61"/>
        </w:trPr>
        <w:tc>
          <w:tcPr>
            <w:tcW w:w="39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by geographic market:</w:t>
            </w:r>
          </w:p>
        </w:tc>
        <w:tc>
          <w:tcPr>
            <w:tcW w:w="1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3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1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2,766.4</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865.8</w:t>
            </w:r>
          </w:p>
        </w:tc>
        <w:tc>
          <w:tcPr>
            <w:tcW w:w="100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28.6</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3,660.8</w:t>
            </w:r>
          </w:p>
        </w:tc>
      </w:tr>
      <w:tr>
        <w:trPr>
          <w:trHeight w:val="203"/>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International Countries</w:t>
            </w:r>
          </w:p>
        </w:tc>
        <w:tc>
          <w:tcPr>
            <w:tcW w:w="18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790.5</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132.5</w:t>
            </w:r>
          </w:p>
        </w:tc>
        <w:tc>
          <w:tcPr>
            <w:tcW w:w="10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923.0</w:t>
            </w:r>
          </w:p>
        </w:tc>
      </w:tr>
      <w:tr>
        <w:trPr>
          <w:trHeight w:val="196"/>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1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3,556.9</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998.3</w:t>
            </w:r>
          </w:p>
        </w:tc>
        <w:tc>
          <w:tcPr>
            <w:tcW w:w="10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28.6</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4,583.8</w:t>
            </w:r>
          </w:p>
        </w:tc>
      </w:tr>
      <w:tr>
        <w:trPr>
          <w:trHeight w:val="27"/>
        </w:trPr>
        <w:tc>
          <w:tcPr>
            <w:tcW w:w="39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2023</w:t>
            </w:r>
          </w:p>
        </w:tc>
        <w:tc>
          <w:tcPr>
            <w:tcW w:w="19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by product type:</w:t>
            </w:r>
          </w:p>
        </w:tc>
        <w:tc>
          <w:tcPr>
            <w:tcW w:w="19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1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3,236.9</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819.2</w:t>
            </w:r>
          </w:p>
        </w:tc>
        <w:tc>
          <w:tcPr>
            <w:tcW w:w="98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13.1</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4,069.2</w:t>
            </w:r>
          </w:p>
        </w:tc>
      </w:tr>
      <w:tr>
        <w:trPr>
          <w:trHeight w:val="203"/>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Irrigation</w:t>
            </w:r>
          </w:p>
        </w:tc>
        <w:tc>
          <w:tcPr>
            <w:tcW w:w="19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437.7</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9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w:t>
            </w:r>
          </w:p>
        </w:tc>
      </w:tr>
      <w:tr>
        <w:trPr>
          <w:trHeight w:val="196"/>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1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3,674.6</w:t>
            </w:r>
          </w:p>
        </w:tc>
        <w:tc>
          <w:tcPr>
            <w:tcW w:w="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854.2</w:t>
            </w:r>
          </w:p>
        </w:tc>
        <w:tc>
          <w:tcPr>
            <w:tcW w:w="9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24.4</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4,553.2</w:t>
            </w:r>
          </w:p>
        </w:tc>
      </w:tr>
      <w:tr>
        <w:trPr>
          <w:trHeight w:val="27"/>
        </w:trPr>
        <w:tc>
          <w:tcPr>
            <w:tcW w:w="3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61"/>
        </w:trPr>
        <w:tc>
          <w:tcPr>
            <w:tcW w:w="3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by geographic market:</w:t>
            </w:r>
          </w:p>
        </w:tc>
        <w:tc>
          <w:tcPr>
            <w:tcW w:w="19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2,898.5</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682.6</w:t>
            </w:r>
          </w:p>
        </w:tc>
        <w:tc>
          <w:tcPr>
            <w:tcW w:w="98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24.4</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3,605.5</w:t>
            </w:r>
          </w:p>
        </w:tc>
      </w:tr>
      <w:tr>
        <w:trPr>
          <w:trHeight w:val="203"/>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 Countries</w:t>
            </w:r>
          </w:p>
        </w:tc>
        <w:tc>
          <w:tcPr>
            <w:tcW w:w="19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776.1</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171.6</w:t>
            </w:r>
          </w:p>
        </w:tc>
        <w:tc>
          <w:tcPr>
            <w:tcW w:w="9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947.7</w:t>
            </w:r>
          </w:p>
        </w:tc>
      </w:tr>
      <w:tr>
        <w:trPr>
          <w:trHeight w:val="196"/>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1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3,674.6</w:t>
            </w:r>
          </w:p>
        </w:tc>
        <w:tc>
          <w:tcPr>
            <w:tcW w:w="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854.2</w:t>
            </w:r>
          </w:p>
        </w:tc>
        <w:tc>
          <w:tcPr>
            <w:tcW w:w="9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24.4</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4,553.2</w:t>
            </w:r>
          </w:p>
        </w:tc>
      </w:tr>
      <w:tr>
        <w:trPr>
          <w:trHeight w:val="27"/>
        </w:trPr>
        <w:tc>
          <w:tcPr>
            <w:tcW w:w="3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product revenues are generated through sales of manufactured equipment and irrigation products, including related replacement parts and accessories. For the majority of the company's products, control is transferred and revenue is recognized when the product is shipped from the company's manufacturing facilities or distribution centers to the company's customers, which primarily consist of distributors, dealers, and mass retailers. In certain situations, the company transfers control and recognizes revenue when delivery to the customer has occurred. In limited circumstances, the company ships some of its products on a consignment basis to customer facilities whereby the company retains control of the product stored at the customer's facility. As the company's products are removed from the facility by the customer, control is transferred from the company to the customer. At that time, the company invoices the customer and recognizes revenue for these consignment transactions. The total value of consignment inventory as of October 31, 2025 and 2024 was $11.1 million and $18.0 million, respectively.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 revenue is recognized based on the transaction price, which is measured as the amount of consideration the company expects to receive in exchange for transferring control of a product to a customer. The company recognizes variable consideration as a reduction of the transaction price at the time of the initial product sale by applying the portfolio approach practical expedient under the accounting standards codification guidance for revenue from contracts with customers. Variable consideration typically occurs as a result of certain of the company's sales promotions and incentive programs that are determined to represent price concessions because the program either: (i) results in an immediate reduction of the transaction price with no anticipated future costs or consideration provided to the customer, or (ii) the company anticipates a future cost based on historical or expected future business practice for which the company does not receive a distinct good or service in exchange for the future consideration provided to the customer under the program. Such programs primarily consist of off-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invoice discounts, rebates, and floor plan and retail financing. The cost of off-invoice discounts are incurred at the time of sale as a reduction of the transaction price and as a result, have no future cost. For all other sales promotion and incentive programs recorded as a reduction of the transaction price at the time of the initial product sale, the company estimates variable consideration using the expected value method because the company anticipates providing a future price concession based on historical or expected future business practice or other factors. Estimates of variable consideration under the expected value method are primarily based on the terms of the sales arrangements and sales promotion and incentive programs with customers, historical payment and rebate claims experience, field inventory levels, quantity or mix of products sold, projected sales volumes, types of programs offered, and expectations for the acceptance of sales promotion and incentive programs offered in the future or changes in other relevant trends. When revenue is recognized, the estimated expense of these sales promotions and incentives programs is recorded as a reduction from gross sales within the Consolidated Statements of Earnings with a corresponding accrual recorded within sales promotions and incentives programs in the Consolidated Balance Sheets. Additionally, from time to time, the company may offer its customers the right to return eligible equipment and irrigation products, replacement parts, and accessories. Such right of return offered on the company's products is also considered to be variable consideration that is estimated and recorded as a reduction of revenue based primarily on historical experience, anticipated sales returns estimated from sales terms, trend analysis, and other factors. The company records the obligation for product returns within accrued liabilities in the Consolidated Balance Sheets and the right-of-return asset in prepaid expenses and other current assets in the Consolidated Balance Sheets. The refund liability and right-of-return asset are remeasured for changes in the estimate at each reporting date with a corresponding adjustment to net sales and cost of sales within the Consolidated Statements of Earnings. There are no material instances where variable consideration is constrained and not recorded at the initial time of sale.</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Collectability from the customer for product revenue is generally assumed to be probable because the company's financial exposure related to accounts receivable is reduced due to its dealer and distributor inventory financing programs. For additional information regarding these programs, refer to Note 11,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The company's product sales to customers that do not elect to finance product purchases are generally on open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terms that generally approximate 30 to 150 days. The resulting receivables are included within receivables, net on the Consolidated Balance Sheets. The company performs ongoing credit evaluations of customers on open account terms in order to assess collectability.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and Extended Warranty 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cases, the company renders service contracts to customers, which typically range from 12 to 60 months. The company also sells separately priced extended warranty coverage on select products for a prescribed period after the standard warranty period expires, which typically range from 12 to 24 months. Under both types of contracts, the company receives payment at the inception of the contract and recognizes revenue over the term of the agreement in proportion to the costs expected to be incurred in satisfying the performance obligations under the contract.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October 31, 2025 and October 31, 2024, $34.0 million and $29.6 million, respectively, of deferred revenue associated with outstanding separately priced extended warranty contracts, service contracts, and non-refundable customer deposits was reported within accrued liabilities and other long-term liabilities in the Consolidated Balance Sheets. For the fiscal year ended October 31, 2025, the company recognized $14.1 million of the October 31, 2024 deferred revenue balance. The company expects to recognize approximately $13.0 million of the October 31, 2025 deferred revenue balance within net sales in the Consolidated Statements of Earnings in fiscal 2026 and $21.0 million thereafter.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20" w:hanging="594"/>
        <w:spacing w:after="0"/>
        <w:tabs>
          <w:tab w:leader="none" w:pos="620" w:val="left"/>
        </w:tabs>
        <w:numPr>
          <w:ilvl w:val="0"/>
          <w:numId w:val="40"/>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Goodwill and Other Intangible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indefinite-lived intangible assets are assessed for impairment at least annually during the fourth quarter of each fiscal year unless events or changes in circumstances indicate that impairment may have occurred prior to the annual assessment. Goodwill is assessed for impairment at the reporting unit level and the company's reporting units are its eight operating segments. Indefinite-lived intangible assets are assessed for impairment at the individual indefinite-lived intangible asset level.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2025, the company identified that future expected cash flows of the Spartan business were lower than previously expected primarily due to a decline in customer demand for many of its products associated with homeowners who prefer professional grade products.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above factors, the company concluded it was more likely than not that the indefinite-lived Spartan trade name intangible asset was impaired. As such, during the third quarter of fiscal 2025 the company performed a quantitative impairment analysis to compare the fair value of the Spartan trade name intangible asset with its respective carrying amount.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Spartan trade name intangible asset was determined using the relief-from-royalty method under the income approach which utilized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Inputs used to estimate the fair value included significant unobservable inputs that reflect the company’s assumptions about the inputs that market participants would use and, therefore, the fair value assessment is classified within Level 3 of the fair value hierarchy.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analysis, during the third quarter of fiscal 2025, the company concluded that the indefinite-lived Spartan trade name intangible asset of $81.1 million, reported under the Professional segment, was fully impaired. The impairment charge is included in the Non-cash impairment charge caption on the Consolidated Statements of Earnings. The impairment charge resulted in a $19.7 million income tax benefit (deferred tax asset) associated with the remaining tax deductible basis in the intangible asset.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fiscal 2025 and 2024 were as follows (dollars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2023</w:t>
            </w: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440.5</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7"/>
              </w:rPr>
              <w:t>10.3</w:t>
            </w:r>
          </w:p>
        </w:tc>
        <w:tc>
          <w:tcPr>
            <w:tcW w:w="102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w:t>
            </w:r>
          </w:p>
        </w:tc>
      </w:tr>
      <w:tr>
        <w:trPr>
          <w:trHeight w:val="195"/>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divested</w:t>
            </w:r>
          </w:p>
        </w:tc>
        <w:tc>
          <w:tcPr>
            <w:tcW w:w="208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6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3"/>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0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9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October 31, 2024</w:t>
            </w:r>
          </w:p>
        </w:tc>
        <w:tc>
          <w:tcPr>
            <w:tcW w:w="2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440.4</w:t>
            </w: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450.3</w:t>
            </w:r>
          </w:p>
        </w:tc>
      </w:tr>
      <w:tr>
        <w:trPr>
          <w:trHeight w:val="196"/>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0.5</w:t>
            </w: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0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9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October 31, 2025</w:t>
            </w:r>
          </w:p>
        </w:tc>
        <w:tc>
          <w:tcPr>
            <w:tcW w:w="2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440.9</w:t>
            </w:r>
          </w:p>
        </w:tc>
        <w:tc>
          <w:tcPr>
            <w:tcW w:w="10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7"/>
              </w:rPr>
              <w:t>10.0</w:t>
            </w:r>
          </w:p>
        </w:tc>
        <w:tc>
          <w:tcPr>
            <w:tcW w:w="102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450.9</w:t>
            </w:r>
          </w:p>
        </w:tc>
      </w:tr>
      <w:tr>
        <w:trPr>
          <w:trHeight w:val="27"/>
        </w:trPr>
        <w:tc>
          <w:tcPr>
            <w:tcW w:w="37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intangible assets were as follows (dollars in millions, except weighted-average useful life in years):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3220" w:type="dxa"/>
            <w:vAlign w:val="bottom"/>
            <w:tcBorders>
              <w:top w:val="single" w:sz="8" w:color="auto"/>
            </w:tcBorders>
          </w:tcPr>
          <w:p>
            <w:pPr>
              <w:jc w:val="right"/>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28"/>
              <w:spacing w:after="0" w:line="15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48"/>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Customer-related</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320.0</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(147.6)</w:t>
            </w: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finite-lived</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446.8</w:t>
            </w: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(247.1)</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Indefinite-lived - trade names</w:t>
            </w:r>
          </w:p>
        </w:tc>
        <w:tc>
          <w:tcPr>
            <w:tcW w:w="3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190.6</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0" w:type="dxa"/>
            <w:vAlign w:val="bottom"/>
          </w:tcPr>
          <w:p>
            <w:pPr>
              <w:spacing w:after="0"/>
              <w:rPr>
                <w:sz w:val="1"/>
                <w:szCs w:val="1"/>
                <w:color w:val="auto"/>
              </w:rPr>
            </w:pPr>
          </w:p>
        </w:tc>
      </w:tr>
      <w:tr>
        <w:trPr>
          <w:trHeight w:val="221"/>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intangible assets, net</w:t>
            </w:r>
          </w:p>
        </w:tc>
        <w:tc>
          <w:tcPr>
            <w:tcW w:w="3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637.4</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(247.1)</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3220" w:type="dxa"/>
            <w:vAlign w:val="bottom"/>
            <w:tcBorders>
              <w:top w:val="single" w:sz="8" w:color="auto"/>
            </w:tcBorders>
          </w:tcPr>
          <w:p>
            <w:pPr>
              <w:jc w:val="right"/>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28"/>
              <w:spacing w:after="0" w:line="15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48"/>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Customer-related</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319.9</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(128.0)</w:t>
            </w: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finite-lived</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451.7</w:t>
            </w: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(224.6)</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Indefinite-lived - trade names</w:t>
            </w:r>
          </w:p>
        </w:tc>
        <w:tc>
          <w:tcPr>
            <w:tcW w:w="3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271.6</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0" w:type="dxa"/>
            <w:vAlign w:val="bottom"/>
          </w:tcPr>
          <w:p>
            <w:pPr>
              <w:spacing w:after="0"/>
              <w:rPr>
                <w:sz w:val="1"/>
                <w:szCs w:val="1"/>
                <w:color w:val="auto"/>
              </w:rPr>
            </w:pPr>
          </w:p>
        </w:tc>
      </w:tr>
      <w:tr>
        <w:trPr>
          <w:trHeight w:val="221"/>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intangible assets, net</w:t>
            </w:r>
          </w:p>
        </w:tc>
        <w:tc>
          <w:tcPr>
            <w:tcW w:w="3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723.3</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(224.6)</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for finite-lived intangible assets for the fiscal years ended October 31, 2025, 2024, and 2023 was $30.7 million, $34.5 million, and $35.7 million, respectively. Estimated amortization expense for the succeeding fiscal years is as follows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60" w:type="dxa"/>
            <w:vAlign w:val="bottom"/>
            <w:tcBorders>
              <w:top w:val="single" w:sz="8" w:color="auto"/>
            </w:tcBorders>
          </w:tcPr>
          <w:p>
            <w:pPr>
              <w:spacing w:after="0"/>
              <w:rPr>
                <w:sz w:val="13"/>
                <w:szCs w:val="13"/>
                <w:color w:val="auto"/>
              </w:rPr>
            </w:pPr>
          </w:p>
        </w:tc>
        <w:tc>
          <w:tcPr>
            <w:tcW w:w="40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08"/>
              <w:spacing w:after="0" w:line="15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Succeeding fiscal year</w:t>
            </w:r>
          </w:p>
        </w:tc>
        <w:tc>
          <w:tcPr>
            <w:tcW w:w="4040" w:type="dxa"/>
            <w:vAlign w:val="bottom"/>
          </w:tcPr>
          <w:p>
            <w:pPr>
              <w:spacing w:after="0"/>
              <w:rPr>
                <w:sz w:val="12"/>
                <w:szCs w:val="12"/>
                <w:color w:val="auto"/>
              </w:rPr>
            </w:pPr>
          </w:p>
        </w:tc>
        <w:tc>
          <w:tcPr>
            <w:tcW w:w="11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95"/>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0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0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95"/>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0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40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0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221"/>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estimated amortization expense</w:t>
            </w:r>
          </w:p>
        </w:tc>
        <w:tc>
          <w:tcPr>
            <w:tcW w:w="4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40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440" w:type="dxa"/>
            <w:vAlign w:val="bottom"/>
          </w:tcPr>
          <w:p>
            <w:pPr>
              <w:ind w:left="20"/>
              <w:spacing w:after="0"/>
              <w:rPr>
                <w:sz w:val="20"/>
                <w:szCs w:val="20"/>
                <w:color w:val="auto"/>
              </w:rPr>
            </w:pPr>
            <w:r>
              <w:rPr>
                <w:rFonts w:ascii="Times New Roman" w:cs="Times New Roman" w:eastAsia="Times New Roman" w:hAnsi="Times New Roman"/>
                <w:sz w:val="43"/>
                <w:szCs w:val="43"/>
                <w:b w:val="1"/>
                <w:bCs w:val="1"/>
                <w:color w:val="auto"/>
              </w:rPr>
              <w:t>6</w:t>
            </w:r>
          </w:p>
        </w:tc>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Indebtedness</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1"/>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company's indebtedness (dollars in millions):</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7160" w:type="dxa"/>
            <w:vAlign w:val="bottom"/>
            <w:tcBorders>
              <w:bottom w:val="single" w:sz="8" w:color="auto"/>
            </w:tcBorders>
            <w:gridSpan w:val="2"/>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90"/>
        </w:trPr>
        <w:tc>
          <w:tcPr>
            <w:tcW w:w="7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 due October 2029</w:t>
            </w:r>
          </w:p>
        </w:tc>
        <w:tc>
          <w:tcPr>
            <w:tcW w:w="16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Term loan, due October 2029</w:t>
            </w:r>
          </w:p>
        </w:tc>
        <w:tc>
          <w:tcPr>
            <w:tcW w:w="16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21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due April 2027</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3.81% series A senior notes, due June 2029</w:t>
            </w:r>
          </w:p>
        </w:tc>
        <w:tc>
          <w:tcPr>
            <w:tcW w:w="16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3.91% series B senior notes, due June 2031</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3.97% senior notes, due June 2032</w:t>
            </w:r>
          </w:p>
        </w:tc>
        <w:tc>
          <w:tcPr>
            <w:tcW w:w="16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5.27% senior notes, due September 2032</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7.8% debentures, due June 2027</w:t>
            </w:r>
          </w:p>
        </w:tc>
        <w:tc>
          <w:tcPr>
            <w:tcW w:w="16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6.625% senior notes, due May 2037</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196"/>
        </w:trPr>
        <w:tc>
          <w:tcPr>
            <w:tcW w:w="7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1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6"/>
        </w:trPr>
        <w:tc>
          <w:tcPr>
            <w:tcW w:w="71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921.5</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921.8</w:t>
            </w:r>
          </w:p>
        </w:tc>
      </w:tr>
      <w:tr>
        <w:trPr>
          <w:trHeight w:val="196"/>
        </w:trPr>
        <w:tc>
          <w:tcPr>
            <w:tcW w:w="7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21"/>
        </w:trPr>
        <w:tc>
          <w:tcPr>
            <w:tcW w:w="71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6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921.5</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911.8</w:t>
            </w:r>
          </w:p>
        </w:tc>
      </w:tr>
      <w:tr>
        <w:trPr>
          <w:trHeight w:val="20"/>
        </w:trPr>
        <w:tc>
          <w:tcPr>
            <w:tcW w:w="440" w:type="dxa"/>
            <w:vAlign w:val="bottom"/>
            <w:tcBorders>
              <w:top w:val="single" w:sz="8" w:color="CCEEFF"/>
              <w:bottom w:val="single" w:sz="8" w:color="auto"/>
            </w:tcBorders>
          </w:tcPr>
          <w:p>
            <w:pPr>
              <w:spacing w:after="0" w:line="20" w:lineRule="exact"/>
              <w:rPr>
                <w:sz w:val="1"/>
                <w:szCs w:val="1"/>
                <w:color w:val="auto"/>
              </w:rPr>
            </w:pPr>
          </w:p>
        </w:tc>
        <w:tc>
          <w:tcPr>
            <w:tcW w:w="67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Principal payments required on the company's outstanding indebtedness, based on the maturity dates defined within the company's debt arrangements, for the succeeding fiscal years is as follows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Succeeding fiscal year</w:t>
            </w:r>
          </w:p>
        </w:tc>
        <w:tc>
          <w:tcPr>
            <w:tcW w:w="5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payments</w:t>
            </w:r>
          </w:p>
        </w:tc>
      </w:tr>
      <w:tr>
        <w:trPr>
          <w:trHeight w:val="20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7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4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7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525.0</w:t>
            </w:r>
          </w:p>
        </w:tc>
      </w:tr>
      <w:tr>
        <w:trPr>
          <w:trHeight w:val="221"/>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principal payments</w:t>
            </w:r>
          </w:p>
        </w:tc>
        <w:tc>
          <w:tcPr>
            <w:tcW w:w="47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925.0</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47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 2024, the company entered into the second amended and restated credit agreement ("2024 Credit Agreement") that provided for, among other things, a five-year unsecured revolving credit facility with a borrowing capacity of up to $900.0 million ("revolving credit facility") that matures on October 2, 2029 and replaced the company's prior $600.0 million unsecured senior revolving credit facility ("prior revolving credit facility") scheduled to mature on October 5, 2026. Included in the revolving credit facility is a $10.0 million sublimit for standby letters of credit and a $75.0 million sublimit for swingline loans. At the company's election, and with the approval of the named borrowers on the revolving credit facility and the election of the lenders to fund such increase, the aggregate maximum principal amount available under the revolving credit facility may be increased by an amount of up to $450.0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as defined in the 2024 Credit Agreement. As of October 31, 2025, the company had no outstanding borrowings under the revolving credit facility and $2.1 million outstanding under the sublimit for standby letters of credit, resulting in $897.9 million of unutilized availability under the revolving credit facility. As of October 31, 2024, the company had no outstanding borrowings under the revolving credit facility and $2.7 million outstanding under the sublimit for standby letters of credit, resulting in $897.3 million of unutilized availability under the revolving credit facility.</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Outstanding loans under the revolving credit facility, other than swingline loans, if applicable, bear interest at a variable rate generally based on SOFR or an alternative variable rate based on the highest of the Bank of America prime rate, the federal funds rate or a rate generally based on SOFR, in each case subject to an additional basis point spread as defined in the 2024 Credit Agreement. Swingline loans under the revolving credit facility bear interest at a rate determined by the swingline lender or an alternative variable rate based on the highest of the Bank of America prime rate, the federal funds rate or a rate generally based on SOFR, in each case subject to an additional basis point spread as defined in the 2024 Credit Agreement. Interest is payable quarterly in arrears. The interest rate on outstanding borrowings as of October 31, 2025 was 5.24%. During fiscal 2025, 2024 and 2023, the company incurred interest expense of $9.4 million, $5.4 million and $5.7 million, respectively, on the outstanding borrowings under the current and prior revolving credit facilities.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Maturing October 2029</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2024 credit agreement also provided for a five-year unsecured term loan in an aggregate principal amount of $200.0 million, the entire amount of which was funded on October 2, 2024 and matures on October 2, 2029 ("2024 Term Loan"). Under the 2024 Credit Agreement, incremental term loan commitments may be established at the company's election and the approval of the lenders on the 2024 Term Loan by an amount of up to $100.0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December 31, 2027, the company is required to make $5.0 million quarterly principal repayments on the 2024 Term Loan, reduced by applicable prepayments. On October 2, 2029, the aggregate principal amount of any remaining outstanding borrowings under the 2024 Term Loan is required to be repaid. The 2024 Term Loan may be prepaid and terminated at the company's election at any time without penalty or premium. Amounts repaid or prepaid may not be reborrowed. As of October 31, 2025, there was $200.0 million of outstanding borrowings under the 2024 Term Loan.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Outstanding borrowings under the 2024 Term Loan bear interest on the outstanding principal amount thereof for each interest period at a variable rate generally based on Term SOFR or an alternative variable rate based on the highest of the Bank of America prime rate, the federal funds rate or a rate generally based on Term SOFR, in each case subject to an additional basis point spread as defined in the 2024 Credit Agreement. Interest is payable quarterly in arrears. The interest rate on outstanding borrowings as of October 31, 2025 was 5.19%. For the fiscal years ended October 31, 2025, 2024, and 2023, the company incurred interest expense of $11.1 million, $17.0 million and $15.9 million, respectively, on the outstanding borrowings under the 2024 Term Loan.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Maturing April 2027</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27, 2022, the company entered into a term loan credit agreement ("2022 Credit Agreement") with certain financial institutions which provided for a five-year unsecured term loan in an aggregate principal amount of $200.0 million, the entire amount of which was funded on April 27, 2022, and matures on April 27, 2027 ("2022 Term Loan"). The company used the proceeds from the September 30, 2025 $200.0 million issuance of 5.27% Senior Notes due September 30, 2032 to repay the outstanding balance of the 2022 Term Loan as of September 30, 2025. As of October 31, 2025, there was no outstanding borrowings under the 2022 Term Loan.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3.81% Series A and 3.91% Series B Senior Notes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30, 2019, the company entered into a private placement note purchase agreement with certain purchasers pursuant to which the company agreed to issue and sell an aggregate principal amount of $100.0 million of 3.81% Series A Senior Notes due June 15, 2029 ("Series A Senior Notes") and $100.0 million of 3.91% Series B Senior Notes due June 15, 2031 ("Series B</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Senior Notes" and together with the Series A Senior Notes, the "Senior Notes"). On June 27, 2019, the company issued $100.0 million of the Series A Senior Notes and $100.0 million of the Series B Senior Notes pursuant to the private placement note purchase agreement. The Senior Notes are unsecured senior obligations of the company.</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principal is due on the Senior Notes prior to their stated due dates. The company has the right to prepay all or a portion of either series of the Senior Notes in amounts not less than 10% of the then outstanding principal amount of the series of Senior Notes being prepaid upon notice to the holders of such series for 100%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the company has the right to prepay all of the outstanding Senior Notes of such series for 100% of the principal amount so prepaid, plus accrued and unpaid interest, if any, to the date of prepayment. Upon the occurrence of certain change of control events, the company is required to offer to prepay all Senior Notes for 100% of the principal amount thereof plus accrued and unpaid interest, if any, to the date of prepayment.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Senior Notes is payable semiannually on the 15th day of June and December in each year. For each of the fiscal years ended October 31, 2025, 2024, and 2023, the company incurred interest expense of $7.7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3.97% Senior Notes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2022, the company issued $100.0 million of 3.97% Senior Notes due June 30, 2032 ("3.97% Senior Notes") pursuant to a private placement note purchase agreement ("2022 Note Purchase Agreement") with certain purchasers. The 3.97% Senior Notes are unsecured senior obligations of the company and mature on June 30, 2032.</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the right to prepay all or a portion of the 3.97% Senior Notes in an amount not less than 10% of the then outstanding principal amount upon notice to the holders for 100% of the prepaid principal amount plus a make-whole premium, as set forth in the 2022 Note Purchase Agreement, plus accrued and unpaid interest, if any, to the date of prepayment. In addition, at any time during the 90 day period ending on the maturity date of the 3.97% Senior Notes, the company will have the right to prepay all of the 3.97% Senior Notes for 100% of the principal amount prepaid, plus accrued and unpaid interest, if any, to the date of prepayment. Upon the occurrence of certain change of control events, the company is required to offer to prepay all of the 3.97% Senior Notes for 100% of the principal amount thereof plus accrued and unpaid interest, if any, to the date of prepayment.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3.97% Senior Notes is payable semiannually on the 30th day of June and December in each year. For the fiscal years ended October 31, 2025, 2024, and 2023, the company incurred interest expense of $4.0 million, respectively, on the outstanding borrowings under the 3.97% Senior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5.27%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30, 2025, the company issued $200.0 million of 5.27% Senior Notes due September 30, 2032 ("5.27% Senior Notes") pursuant to a private placement note purchase agreement ("2025 Note Purchase Agreement") with certain purchasers. The 5.27% Senior Notes are unsecured senior obligations of the company and mature on September 30, 2032. The proceeds were used to repay the outstanding balance of the 2022 Term Loan as of September 30, 2025.</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the right to prepay all or a portion of the 5.27% Senior Notes in an amount not less than 10% of the then outstanding principal amount upon notice to the holders for 100% of the prepaid principal amount plus a make-whole premium, as set forth in the 2025 Note Purchase Agreement, plus accrued and unpaid interest, if any, to the date of prepayment. In addition, at any time during the 90 day period ending on the maturity date of the 5.27% Senior Notes, the company will have the right to prepay all of the 5.27% Senior Notes for 100% of the principal amount prepaid, plus accrued and unpaid interest, if any, to the date of prepayment. Upon the occurrence of certain change of control events, the company is required to offer to prepay all of the 5.27% Senior Notes for 100% of the principal amount thereof plus accrued and unpaid interest, if any, to the date of prepayment.</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on the 5.27% Senior Notes is payable semiannually on the 30th day of March and September in each year. For the fiscal years ended October 31, 2025, the company incurred interest expense of $0.9 million on the outstanding borrowings under the 3.97% Senior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7.8% Debentures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1997, the company issued $175.0 million of debt securities consisting of $75.0 million of 7.125% coupon 10-year notes which were repaid at maturity during fiscal 2007, and $100.0 million of 7.8% coupon 30-year debentures due June 15, 2027. In connection with the issuance of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debentures is payable semiannually on the 15th day of June and December in each year. For each of the fiscal years ended October 31, 2025, 2024, and 2023, the company incurred interest expense of $8.0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6.625% Senior Notes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26, 2007, the company issued $125.0 million in aggregate principal amount of 6.625% senior notes due May 1, 2037 and priced at 98.513% of par value. The resulting discount of $1.9 million is being amortized over the term of the notes using the straight-line method as the results obtained are not materially different from those that would result from the use of the effective interest method. Although the coupon rate of the senior notes is 6.625%, the effective interest rate is 6.741% after taking into account the issuance discount. The senior notes are unsecured senior obligations of the company and rank equally with the company's other unsecured and unsubordinated indebtedness.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senior notes is payable semiannually on the 1st day of May and November in each year. For each of the fiscal years ended October 31, 2025, 2024, and 2023, the company incurred interest expense of $8.4 million, respectively.</w:t>
      </w:r>
    </w:p>
    <w:p>
      <w:pPr>
        <w:spacing w:after="0" w:line="83" w:lineRule="exact"/>
        <w:rPr>
          <w:sz w:val="20"/>
          <w:szCs w:val="20"/>
          <w:color w:val="auto"/>
        </w:rPr>
      </w:pPr>
    </w:p>
    <w:p>
      <w:pPr>
        <w:ind w:left="620" w:hanging="594"/>
        <w:spacing w:after="0"/>
        <w:tabs>
          <w:tab w:leader="none" w:pos="620" w:val="left"/>
        </w:tabs>
        <w:numPr>
          <w:ilvl w:val="0"/>
          <w:numId w:val="41"/>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Investment in Joint Venture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is party to a joint venture with HDF, established as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 $1,350.0 million secured revolving credit facility established under a credit agreement between Red Iron and HDF. The company's total investment in Red Iron as of October 31, 2025 and 2024 was $41.0 million and $49.2 million, respectively. The company has not guaranteed the outstanding indebtedness of Red Iron.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600" w:type="dxa"/>
            <w:vAlign w:val="bottom"/>
          </w:tcPr>
          <w:p>
            <w:pPr>
              <w:ind w:left="20"/>
              <w:spacing w:after="0"/>
              <w:rPr>
                <w:sz w:val="20"/>
                <w:szCs w:val="20"/>
                <w:color w:val="auto"/>
              </w:rPr>
            </w:pPr>
            <w:r>
              <w:rPr>
                <w:rFonts w:ascii="Times New Roman" w:cs="Times New Roman" w:eastAsia="Times New Roman" w:hAnsi="Times New Roman"/>
                <w:sz w:val="43"/>
                <w:szCs w:val="43"/>
                <w:b w:val="1"/>
                <w:bCs w:val="1"/>
                <w:color w:val="auto"/>
              </w:rPr>
              <w:t>8</w:t>
            </w:r>
          </w:p>
        </w:tc>
        <w:tc>
          <w:tcPr>
            <w:tcW w:w="53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Income Taxes</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8"/>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before income taxes were as follows (dollars in millions):</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5960" w:type="dxa"/>
            <w:vAlign w:val="bottom"/>
            <w:tcBorders>
              <w:bottom w:val="single" w:sz="8" w:color="auto"/>
            </w:tcBorders>
            <w:gridSpan w:val="2"/>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90"/>
        </w:trPr>
        <w:tc>
          <w:tcPr>
            <w:tcW w:w="5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278.6</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436.6</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w:t>
            </w:r>
          </w:p>
        </w:tc>
      </w:tr>
      <w:tr>
        <w:trPr>
          <w:trHeight w:val="203"/>
        </w:trPr>
        <w:tc>
          <w:tcPr>
            <w:tcW w:w="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5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99.0</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76.2</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196"/>
        </w:trPr>
        <w:tc>
          <w:tcPr>
            <w:tcW w:w="5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earnings before income taxes</w:t>
            </w:r>
          </w:p>
        </w:tc>
        <w:tc>
          <w:tcPr>
            <w:tcW w:w="14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377.6</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512.8</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w:t>
            </w:r>
          </w:p>
        </w:tc>
      </w:tr>
      <w:tr>
        <w:trPr>
          <w:trHeight w:val="27"/>
        </w:trPr>
        <w:tc>
          <w:tcPr>
            <w:tcW w:w="60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Effective Tax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tax rate is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32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2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federal income tax rate</w:t>
            </w:r>
          </w:p>
        </w:tc>
        <w:tc>
          <w:tcPr>
            <w:tcW w:w="33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21.0 %</w:t>
            </w:r>
          </w:p>
        </w:tc>
        <w:tc>
          <w:tcPr>
            <w:tcW w:w="15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21.0 %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Excess deduction for stock-based compensation</w:t>
            </w:r>
          </w:p>
        </w:tc>
        <w:tc>
          <w:tcPr>
            <w:tcW w:w="33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(0.1)</w:t>
            </w:r>
          </w:p>
        </w:tc>
        <w:tc>
          <w:tcPr>
            <w:tcW w:w="15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(0.6)</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 and local income taxes, net of federal benefit</w:t>
            </w:r>
          </w:p>
        </w:tc>
        <w:tc>
          <w:tcPr>
            <w:tcW w:w="33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1.6</w:t>
            </w:r>
          </w:p>
        </w:tc>
        <w:tc>
          <w:tcPr>
            <w:tcW w:w="15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2.2</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operations</w:t>
            </w:r>
          </w:p>
        </w:tc>
        <w:tc>
          <w:tcPr>
            <w:tcW w:w="33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(2.2)</w:t>
            </w:r>
          </w:p>
        </w:tc>
        <w:tc>
          <w:tcPr>
            <w:tcW w:w="15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(1.2)</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(0.7)</w:t>
            </w:r>
          </w:p>
        </w:tc>
      </w:tr>
      <w:tr>
        <w:trPr>
          <w:trHeight w:val="21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research tax credit</w:t>
            </w:r>
          </w:p>
        </w:tc>
        <w:tc>
          <w:tcPr>
            <w:tcW w:w="332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(2.5)</w:t>
            </w:r>
          </w:p>
        </w:tc>
        <w:tc>
          <w:tcPr>
            <w:tcW w:w="152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(1.9)</w:t>
            </w: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Foreign-derived intangible income</w:t>
            </w:r>
          </w:p>
        </w:tc>
        <w:tc>
          <w:tcPr>
            <w:tcW w:w="33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(1.2)</w:t>
            </w:r>
          </w:p>
        </w:tc>
        <w:tc>
          <w:tcPr>
            <w:tcW w:w="15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(0.9)</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r>
      <w:tr>
        <w:trPr>
          <w:trHeight w:val="203"/>
        </w:trPr>
        <w:tc>
          <w:tcPr>
            <w:tcW w:w="5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32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(0.3)</w:t>
            </w:r>
          </w:p>
        </w:tc>
        <w:tc>
          <w:tcPr>
            <w:tcW w:w="152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(0.3)</w:t>
            </w:r>
          </w:p>
        </w:tc>
        <w:tc>
          <w:tcPr>
            <w:tcW w:w="11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33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16.3 %</w:t>
            </w:r>
          </w:p>
        </w:tc>
        <w:tc>
          <w:tcPr>
            <w:tcW w:w="15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18.3 %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17.7 %</w:t>
            </w:r>
          </w:p>
        </w:tc>
      </w:tr>
      <w:tr>
        <w:trPr>
          <w:trHeight w:val="27"/>
        </w:trPr>
        <w:tc>
          <w:tcPr>
            <w:tcW w:w="52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provision for income taxes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provision:</w:t>
            </w:r>
          </w:p>
        </w:tc>
        <w:tc>
          <w:tcPr>
            <w:tcW w:w="2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2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91.6</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94.9</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r>
      <w:tr>
        <w:trPr>
          <w:trHeight w:val="21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2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96"/>
        </w:trPr>
        <w:tc>
          <w:tcPr>
            <w:tcW w:w="4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28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96"/>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provision</w:t>
            </w:r>
          </w:p>
        </w:tc>
        <w:tc>
          <w:tcPr>
            <w:tcW w:w="28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120.2</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121.8</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r>
      <w:tr>
        <w:trPr>
          <w:trHeight w:val="195"/>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(benefit) provision:</w:t>
            </w:r>
          </w:p>
        </w:tc>
        <w:tc>
          <w:tcPr>
            <w:tcW w:w="2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28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r>
      <w:tr>
        <w:trPr>
          <w:trHeight w:val="195"/>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28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3"/>
        </w:trPr>
        <w:tc>
          <w:tcPr>
            <w:tcW w:w="4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28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6"/>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deferred benefit</w:t>
            </w:r>
          </w:p>
        </w:tc>
        <w:tc>
          <w:tcPr>
            <w:tcW w:w="28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(27.9)</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w:t>
            </w:r>
          </w:p>
        </w:tc>
      </w:tr>
      <w:tr>
        <w:trPr>
          <w:trHeight w:val="221"/>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28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61.5</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93.9</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r>
      <w:tr>
        <w:trPr>
          <w:trHeight w:val="20"/>
        </w:trPr>
        <w:tc>
          <w:tcPr>
            <w:tcW w:w="450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issued the Pillar Two Model Rules Framework (the "Framework"), which establishes global minimum tax rules with a minimum tax rate of 15%. The OECD continues to release additional guidance on these rules. Certain countries where the company operates have adopted legislation effective for fiscal years beginning on or after January 1, 2024, and other countries are in the process of introducing such legislation. The Framework did not have a material impact on the Consolidated Financial Statements.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new U.S tax legislation was signed into law (known as the "One Big Beautiful Bill Act" or "OBBB") which makes permanent many of the tax provisions enacted in 2017 as part of the Tax Cuts and Jobs Act that were set to expire at the end of 2025. These include but are not limited to the reinstatement of 100% bonus depreciation, the deduction of U.S. based research expenditures, the deduction of interest expense, the deduction for foreign-derived intangible income (FDII), the tax and related foreign tax credit on Global Intangible Low-Taxed Income (GILTI), and the base-erosion anti-abuse tax (BEAT).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legislation in effect for the Company's current fiscal year is the permanent reinstatement of 100% bonus depreciation. The other provisions within the OBBB have varying effective dates that will phase in between fiscal years 2026 and 2027. The Company continues to evaluate the future impact of these provisions.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income tax assets and liabilities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0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3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experimentation</w:t>
            </w:r>
          </w:p>
        </w:tc>
        <w:tc>
          <w:tcPr>
            <w:tcW w:w="3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86.0</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Warranty and insurance</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0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35.5</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liabilities</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Advertising and sales promotions and incentives</w:t>
            </w:r>
          </w:p>
        </w:tc>
        <w:tc>
          <w:tcPr>
            <w:tcW w:w="30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losses and other carryforwards</w:t>
            </w:r>
          </w:p>
        </w:tc>
        <w:tc>
          <w:tcPr>
            <w:tcW w:w="30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96"/>
        </w:trPr>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Valuation allowance</w:t>
            </w:r>
          </w:p>
        </w:tc>
        <w:tc>
          <w:tcPr>
            <w:tcW w:w="30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96"/>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3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240.8</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r>
      <w:tr>
        <w:trPr>
          <w:trHeight w:val="195"/>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3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 assets</w:t>
            </w:r>
          </w:p>
        </w:tc>
        <w:tc>
          <w:tcPr>
            <w:tcW w:w="3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0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(50.1)</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r>
      <w:tr>
        <w:trPr>
          <w:trHeight w:val="203"/>
        </w:trPr>
        <w:tc>
          <w:tcPr>
            <w:tcW w:w="5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w:t>
            </w:r>
          </w:p>
        </w:tc>
        <w:tc>
          <w:tcPr>
            <w:tcW w:w="30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(54.7)</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r>
      <w:tr>
        <w:trPr>
          <w:trHeight w:val="196"/>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30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(135.9)</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(158.3)</w:t>
            </w:r>
          </w:p>
        </w:tc>
      </w:tr>
      <w:tr>
        <w:trPr>
          <w:trHeight w:val="221"/>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 net</w:t>
            </w:r>
          </w:p>
        </w:tc>
        <w:tc>
          <w:tcPr>
            <w:tcW w:w="3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104.9</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31, 2025, the company has domestic net operating loss carryforwards of $1.1 million for federal income tax purposes, and $2.8 million state income tax purposes, that do not expire and $1.0 million for state income tax purposes that expire between fiscal 2038 and fiscal 2045. As of October 31, 2025, the company has net operating loss carryforwards of approximately $8.8 million in foreign jurisdictions, which are comprised of $8.6 million that do not expire and $0.2 million that expires between fiscal 2035 and fiscal 2041. The company also has domestic credit carryforwards of $3.5 million that expire between fiscal 2027 and fiscal 2043.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 in the total valuation allowance between the fiscal years ended October 31, 2025 and 2024 was an increase of $0.3 million. The change in valuation allowance is related to capital loss carryforwards, domestic tax credits, and foreign net operating losses that are expected to expire prior to utilization.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that $27.6 million of the total undistributed earnings of its foreign operations will be indefinitely reinvested. Should these earnings be distributed in the future in the form of dividends or otherwise, the company may be subject to foreign withholding taxes, state income taxes, and/or additional federal taxes for currency fluctuations. As of October 31, 2025, the unrecognized deferred tax liabilities for temporary differences related to the company’s investment in non-U.S. subsidiaries, and any withholding, state, or additional federal taxes that may be applied upon any future repatriation, are expected to be immaterial.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Unrecognized tax benefits as of October 31, 2024</w:t>
            </w:r>
          </w:p>
        </w:tc>
        <w:tc>
          <w:tcPr>
            <w:tcW w:w="35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color w:val="auto"/>
              </w:rPr>
              <w:t>3.5</w:t>
            </w:r>
          </w:p>
        </w:tc>
      </w:tr>
      <w:tr>
        <w:trPr>
          <w:trHeight w:val="20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as a result of tax positions taken during the current period</w:t>
            </w:r>
          </w:p>
        </w:tc>
        <w:tc>
          <w:tcPr>
            <w:tcW w:w="358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0.4</w:t>
            </w:r>
          </w:p>
        </w:tc>
      </w:tr>
      <w:tr>
        <w:trPr>
          <w:trHeight w:val="196"/>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Reductions as a result of statute of limitations lapses</w:t>
            </w:r>
          </w:p>
        </w:tc>
        <w:tc>
          <w:tcPr>
            <w:tcW w:w="3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color w:val="auto"/>
              </w:rPr>
              <w:t>(0.7)</w:t>
            </w:r>
          </w:p>
        </w:tc>
      </w:tr>
      <w:tr>
        <w:trPr>
          <w:trHeight w:val="221"/>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benefits as of October 31, 2025</w:t>
            </w:r>
          </w:p>
        </w:tc>
        <w:tc>
          <w:tcPr>
            <w:tcW w:w="3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3.2</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35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a component of the provision for income taxes within the Consolidated Statements of Earnings. In addition to the unrecognized tax benefits of $3.2 million, which have been recorded as an other accrued liability within the Consolidated Balance Sheets as of October 31, 2025, the company recorded $1.0 million of accrued interest and penalties as an other accrued liability within the Consolidated Balance Sheets as of October 31, 2025. Included in the balance of unrecognized tax benefits as of October 31, 2025 are potential benefits of $3.4 million that, if recognized, would affect the effective tax rate.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wholly owned subsidiaries file income tax returns in the U.S. federal jurisdiction, and numerous state and foreign jurisdictions. With few exceptions, the company is no longer subject to U.S. federal, state and local, and foreign income tax examinations by tax authorities for taxable years before fiscal 2020. The Internal Revenue Service has commenced an audit of fiscal 2022, with no material adjustments to tax expense or unrecognized tax benefits expected. The company is under audit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certain state jurisdictions and expects various statutes of limitation to expire during the next 12 months. Due to the uncertainty related to the response of taxing authorities, a range of outcomes cannot be reasonably estimated at this time.</w:t>
      </w:r>
    </w:p>
    <w:p>
      <w:pPr>
        <w:spacing w:after="0" w:line="83" w:lineRule="exact"/>
        <w:rPr>
          <w:sz w:val="20"/>
          <w:szCs w:val="20"/>
          <w:color w:val="auto"/>
        </w:rPr>
      </w:pPr>
    </w:p>
    <w:p>
      <w:pPr>
        <w:ind w:left="620" w:hanging="594"/>
        <w:spacing w:after="0"/>
        <w:tabs>
          <w:tab w:leader="none" w:pos="620" w:val="left"/>
        </w:tabs>
        <w:numPr>
          <w:ilvl w:val="0"/>
          <w:numId w:val="42"/>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15, 2022, the company’s shareholders approved The Toro Company 2022 Equity and Incentive Plan (the “2022 Plan”), which became effective immediately and replaced The Toro Company Amended and Restated 2010 Equity and Incentive Plan, as amended (the “2010 Plan”) with respect to future grants of awards. The 2022 Plan is administered by the Compensation and Human Resources Committee of the Board of Directors and permits the grant of nonqualified and incentive stock options, stock appreciation rights, restricted stock, restricted stock units, performance shares, performance units, annual performance awards, non-employee director awards and other cash-based and stock-based awards to eligible individuals. Subject to adjustment as provided in the 2022 Plan, the maximum aggregate number of shares of the company’s common stock authorized for issuance under the 2022 Plan is equal to the sum of: (a) 1,250,000 shares, plus (b) the number of shares remaining available for grant under the 2010 Plan but not subject to outstanding awards thereunder as of March 15, 2022, and plus (c) the number of shares subject to awards outstanding under the 2010 Plan as of March 15, 2022 but only to the extent that such outstanding awards are forfeited, expire or otherwise terminate without the issuance of such shares. The number of unissued shares of common stock available for future stock-based compensation award grants under the 2022 Plan was 1,797,299 as of October 31, 2025. All outstanding stock-based compensation awards were granted under the 2010 Plan or the 2022 Plan. Shares of common stock issued upon the exercise, vesting, or settlement of stock options, restricted stock units, and performance shares are issued from treasury shares.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costs related to stock-based compensation awards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0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awards</w:t>
            </w:r>
          </w:p>
        </w:tc>
        <w:tc>
          <w:tcPr>
            <w:tcW w:w="2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95"/>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share awards</w:t>
            </w:r>
          </w:p>
        </w:tc>
        <w:tc>
          <w:tcPr>
            <w:tcW w:w="20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38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 awards</w:t>
            </w:r>
          </w:p>
        </w:tc>
        <w:tc>
          <w:tcPr>
            <w:tcW w:w="2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9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Unrestricted common stock awards</w:t>
            </w:r>
          </w:p>
        </w:tc>
        <w:tc>
          <w:tcPr>
            <w:tcW w:w="20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0.6</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21"/>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cost for stock-based compensation awards</w:t>
            </w:r>
          </w:p>
        </w:tc>
        <w:tc>
          <w:tcPr>
            <w:tcW w:w="2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w:t>
            </w:r>
          </w:p>
        </w:tc>
        <w:tc>
          <w:tcPr>
            <w:tcW w:w="3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23.0</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20"/>
        </w:trPr>
        <w:tc>
          <w:tcPr>
            <w:tcW w:w="53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Related tax benefit from stock-based compensation awards</w:t>
            </w:r>
          </w:p>
        </w:tc>
        <w:tc>
          <w:tcPr>
            <w:tcW w:w="2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 options are granted with an exercise price equal to the closing price of the company's common stock on the date of grant, as reported by the New York Stock Exchange and are generally granted to executive officers, other employees, and non-employee Board members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or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applicable equity and incentive plan.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 cash dividends paid, expected future cash dividends and dividend yield, and expected changes in the company's stock price.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illustrates the weighted-average valuation assumptions used under the Black-Scholes valuation method for options granted in the following fiscal periods: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of option in years</w:t>
            </w:r>
          </w:p>
        </w:tc>
        <w:tc>
          <w:tcPr>
            <w:tcW w:w="2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6.42</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r>
      <w:tr>
        <w:trPr>
          <w:trHeight w:val="195"/>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2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28.08 %</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26.76 %</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25.20 %</w:t>
            </w: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4.47 %</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r>
      <w:tr>
        <w:trPr>
          <w:trHeight w:val="195"/>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2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1.43 %</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0.95 %</w:t>
            </w:r>
          </w:p>
        </w:tc>
      </w:tr>
      <w:tr>
        <w:trPr>
          <w:trHeight w:val="203"/>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 weighted-average fair value at date of grant</w:t>
            </w:r>
          </w:p>
        </w:tc>
        <w:tc>
          <w:tcPr>
            <w:tcW w:w="21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25.52</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30.39</w:t>
            </w:r>
          </w:p>
        </w:tc>
        <w:tc>
          <w:tcPr>
            <w:tcW w:w="3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33.21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stock option activity for fiscal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880" w:type="dxa"/>
            <w:vAlign w:val="bottom"/>
            <w:tcBorders>
              <w:top w:val="single" w:sz="8" w:color="auto"/>
            </w:tcBorders>
          </w:tcPr>
          <w:p>
            <w:pPr>
              <w:spacing w:after="0"/>
              <w:rPr>
                <w:sz w:val="12"/>
                <w:szCs w:val="12"/>
                <w:color w:val="auto"/>
              </w:rPr>
            </w:pPr>
          </w:p>
        </w:tc>
        <w:tc>
          <w:tcPr>
            <w:tcW w:w="3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Aggregate Intrinsic</w:t>
            </w: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3140" w:type="dxa"/>
            <w:vAlign w:val="bottom"/>
            <w:vMerge w:val="restart"/>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Stock Option Awards</w:t>
            </w: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Contractual Life</w:t>
            </w:r>
          </w:p>
        </w:tc>
        <w:tc>
          <w:tcPr>
            <w:tcW w:w="160" w:type="dxa"/>
            <w:vAlign w:val="bottom"/>
          </w:tcPr>
          <w:p>
            <w:pPr>
              <w:spacing w:after="0"/>
              <w:rPr>
                <w:sz w:val="11"/>
                <w:szCs w:val="11"/>
                <w:color w:val="auto"/>
              </w:rPr>
            </w:pPr>
          </w:p>
        </w:tc>
        <w:tc>
          <w:tcPr>
            <w:tcW w:w="122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rPr>
              <w:t>Value (dollars in</w:t>
            </w:r>
          </w:p>
        </w:tc>
        <w:tc>
          <w:tcPr>
            <w:tcW w:w="0" w:type="dxa"/>
            <w:vAlign w:val="bottom"/>
          </w:tcPr>
          <w:p>
            <w:pPr>
              <w:spacing w:after="0"/>
              <w:rPr>
                <w:sz w:val="1"/>
                <w:szCs w:val="1"/>
                <w:color w:val="auto"/>
              </w:rPr>
            </w:pPr>
          </w:p>
        </w:tc>
      </w:tr>
      <w:tr>
        <w:trPr>
          <w:trHeight w:val="184"/>
        </w:trPr>
        <w:tc>
          <w:tcPr>
            <w:tcW w:w="38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October 31, 2024</w:t>
            </w:r>
          </w:p>
        </w:tc>
        <w:tc>
          <w:tcPr>
            <w:tcW w:w="31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3,120,366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83.69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3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378,970</w:t>
            </w:r>
          </w:p>
        </w:tc>
        <w:tc>
          <w:tcPr>
            <w:tcW w:w="16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80.11</w:t>
            </w: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3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(188,737)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47.53</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3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(131,096)</w:t>
            </w:r>
          </w:p>
        </w:tc>
        <w:tc>
          <w:tcPr>
            <w:tcW w:w="16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96.52</w:t>
            </w: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October 31, 2025</w:t>
            </w:r>
          </w:p>
        </w:tc>
        <w:tc>
          <w:tcPr>
            <w:tcW w:w="3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3,179,503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84.88</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Exercisable as of October 31, 2025</w:t>
            </w:r>
          </w:p>
        </w:tc>
        <w:tc>
          <w:tcPr>
            <w:tcW w:w="3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2,433,329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82.68</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2025, there was $4.1 million of total unrecognized compensation cost related to unvested stock options that is expected to be recognized over a weighted-average period of 1.80 years.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total market value of stock options exercised and the total intrinsic value of options exercised during the following fiscal years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value of stock options exercised</w:t>
            </w:r>
          </w:p>
        </w:tc>
        <w:tc>
          <w:tcPr>
            <w:tcW w:w="32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10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r>
      <w:tr>
        <w:trPr>
          <w:trHeight w:val="203"/>
        </w:trPr>
        <w:tc>
          <w:tcPr>
            <w:tcW w:w="4760" w:type="dxa"/>
            <w:vAlign w:val="bottom"/>
            <w:tcBorders>
              <w:bottom w:val="single" w:sz="8" w:color="auto"/>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Intrinsic value of stock options exercised</w:t>
            </w:r>
            <w:r>
              <w:rPr>
                <w:rFonts w:ascii="Times New Roman" w:cs="Times New Roman" w:eastAsia="Times New Roman" w:hAnsi="Times New Roman"/>
                <w:sz w:val="18"/>
                <w:szCs w:val="18"/>
                <w:color w:val="auto"/>
                <w:vertAlign w:val="superscript"/>
              </w:rPr>
              <w:t>1</w:t>
            </w:r>
          </w:p>
        </w:tc>
        <w:tc>
          <w:tcPr>
            <w:tcW w:w="32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0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11.1</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r>
    </w:tbl>
    <w:p>
      <w:pPr>
        <w:spacing w:after="0" w:line="166" w:lineRule="exact"/>
        <w:rPr>
          <w:sz w:val="20"/>
          <w:szCs w:val="20"/>
          <w:color w:val="auto"/>
        </w:rPr>
      </w:pPr>
    </w:p>
    <w:p>
      <w:pPr>
        <w:ind w:left="160" w:hanging="152"/>
        <w:spacing w:after="0"/>
        <w:tabs>
          <w:tab w:leader="none" w:pos="160"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Intrinsic value is calculated as the amount by which the stock price at exercise date exceeded the option exercise price.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Share Awards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grants performance share awards on an annual basis in the first quarter of the company's fiscal year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Compensation cost is recognized for these awards on a straight-line basis over the vesting period based on the per share fair value, which is equal to the closing price of the company's common stock on the date of grant, and the probability of achieving each performance goal.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related to the company's performance share awards are as follows (dollars in millions, except per award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per award at date of grant</w:t>
            </w:r>
          </w:p>
        </w:tc>
        <w:tc>
          <w:tcPr>
            <w:tcW w:w="280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80.04</w:t>
            </w:r>
          </w:p>
        </w:tc>
        <w:tc>
          <w:tcPr>
            <w:tcW w:w="9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99.60</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112.14</w:t>
            </w:r>
          </w:p>
        </w:tc>
      </w:tr>
      <w:tr>
        <w:trPr>
          <w:trHeight w:val="19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Fair value of performance share awards vested</w:t>
            </w:r>
          </w:p>
        </w:tc>
        <w:tc>
          <w:tcPr>
            <w:tcW w:w="280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9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7.7</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fiscal 2025 activity for unvested performance share awards: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20" w:type="dxa"/>
            <w:vAlign w:val="bottom"/>
            <w:tcBorders>
              <w:top w:val="single" w:sz="8" w:color="auto"/>
            </w:tcBorders>
          </w:tcPr>
          <w:p>
            <w:pPr>
              <w:spacing w:after="0"/>
              <w:rPr>
                <w:sz w:val="13"/>
                <w:szCs w:val="13"/>
                <w:color w:val="auto"/>
              </w:rPr>
            </w:pPr>
          </w:p>
        </w:tc>
        <w:tc>
          <w:tcPr>
            <w:tcW w:w="4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28"/>
              <w:spacing w:after="0" w:line="15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4640" w:type="dxa"/>
            <w:vAlign w:val="bottom"/>
            <w:vMerge w:val="restart"/>
          </w:tcPr>
          <w:p>
            <w:pPr>
              <w:ind w:left="3300"/>
              <w:spacing w:after="0"/>
              <w:rPr>
                <w:sz w:val="20"/>
                <w:szCs w:val="20"/>
                <w:color w:val="auto"/>
              </w:rPr>
            </w:pPr>
            <w:r>
              <w:rPr>
                <w:rFonts w:ascii="Times New Roman" w:cs="Times New Roman" w:eastAsia="Times New Roman" w:hAnsi="Times New Roman"/>
                <w:sz w:val="14"/>
                <w:szCs w:val="14"/>
                <w:b w:val="1"/>
                <w:bCs w:val="1"/>
                <w:color w:val="auto"/>
              </w:rPr>
              <w:t>Performance Shares</w:t>
            </w:r>
          </w:p>
        </w:tc>
        <w:tc>
          <w:tcPr>
            <w:tcW w:w="138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Fair Value at Date of</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2024</w:t>
            </w:r>
          </w:p>
        </w:tc>
        <w:tc>
          <w:tcPr>
            <w:tcW w:w="46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4"/>
                <w:szCs w:val="14"/>
                <w:color w:val="auto"/>
              </w:rPr>
              <w:t>206,672</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103.26</w:t>
            </w:r>
          </w:p>
        </w:tc>
        <w:tc>
          <w:tcPr>
            <w:tcW w:w="0" w:type="dxa"/>
            <w:vAlign w:val="bottom"/>
          </w:tcPr>
          <w:p>
            <w:pPr>
              <w:spacing w:after="0"/>
              <w:rPr>
                <w:sz w:val="1"/>
                <w:szCs w:val="1"/>
                <w:color w:val="auto"/>
              </w:rPr>
            </w:pPr>
          </w:p>
        </w:tc>
      </w:tr>
      <w:tr>
        <w:trPr>
          <w:trHeight w:val="19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4640" w:type="dxa"/>
            <w:vAlign w:val="bottom"/>
          </w:tcPr>
          <w:p>
            <w:pPr>
              <w:ind w:left="4060"/>
              <w:spacing w:after="0"/>
              <w:rPr>
                <w:sz w:val="20"/>
                <w:szCs w:val="20"/>
                <w:color w:val="auto"/>
              </w:rPr>
            </w:pPr>
            <w:r>
              <w:rPr>
                <w:rFonts w:ascii="Times New Roman" w:cs="Times New Roman" w:eastAsia="Times New Roman" w:hAnsi="Times New Roman"/>
                <w:sz w:val="14"/>
                <w:szCs w:val="14"/>
                <w:color w:val="auto"/>
              </w:rPr>
              <w:t>138,723</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4640" w:type="dxa"/>
            <w:vAlign w:val="bottom"/>
            <w:shd w:val="clear" w:color="auto" w:fill="CCEEFF"/>
          </w:tcPr>
          <w:p>
            <w:pPr>
              <w:ind w:left="4080"/>
              <w:spacing w:after="0"/>
              <w:rPr>
                <w:sz w:val="20"/>
                <w:szCs w:val="20"/>
                <w:color w:val="auto"/>
              </w:rPr>
            </w:pPr>
            <w:r>
              <w:rPr>
                <w:rFonts w:ascii="Times New Roman" w:cs="Times New Roman" w:eastAsia="Times New Roman" w:hAnsi="Times New Roman"/>
                <w:sz w:val="14"/>
                <w:szCs w:val="14"/>
                <w:color w:val="auto"/>
              </w:rPr>
              <w:t>(29,836)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98.41</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4640" w:type="dxa"/>
            <w:vAlign w:val="bottom"/>
            <w:tcBorders>
              <w:bottom w:val="single" w:sz="8" w:color="auto"/>
            </w:tcBorders>
          </w:tcPr>
          <w:p>
            <w:pPr>
              <w:ind w:left="4080"/>
              <w:spacing w:after="0"/>
              <w:rPr>
                <w:sz w:val="20"/>
                <w:szCs w:val="20"/>
                <w:color w:val="auto"/>
              </w:rPr>
            </w:pPr>
            <w:r>
              <w:rPr>
                <w:rFonts w:ascii="Times New Roman" w:cs="Times New Roman" w:eastAsia="Times New Roman" w:hAnsi="Times New Roman"/>
                <w:sz w:val="14"/>
                <w:szCs w:val="14"/>
                <w:color w:val="auto"/>
              </w:rPr>
              <w:t>(36,731)</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97.19</w:t>
            </w:r>
          </w:p>
        </w:tc>
        <w:tc>
          <w:tcPr>
            <w:tcW w:w="0" w:type="dxa"/>
            <w:vAlign w:val="bottom"/>
          </w:tcPr>
          <w:p>
            <w:pPr>
              <w:spacing w:after="0"/>
              <w:rPr>
                <w:sz w:val="1"/>
                <w:szCs w:val="1"/>
                <w:color w:val="auto"/>
              </w:rPr>
            </w:pPr>
          </w:p>
        </w:tc>
      </w:tr>
      <w:tr>
        <w:trPr>
          <w:trHeight w:val="221"/>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2025</w:t>
            </w:r>
          </w:p>
        </w:tc>
        <w:tc>
          <w:tcPr>
            <w:tcW w:w="4640" w:type="dxa"/>
            <w:vAlign w:val="bottom"/>
            <w:tcBorders>
              <w:bottom w:val="single" w:sz="8" w:color="auto"/>
            </w:tcBorders>
            <w:shd w:val="clear" w:color="auto" w:fill="CCEEFF"/>
          </w:tcPr>
          <w:p>
            <w:pPr>
              <w:ind w:left="4060"/>
              <w:spacing w:after="0"/>
              <w:rPr>
                <w:sz w:val="20"/>
                <w:szCs w:val="20"/>
                <w:color w:val="auto"/>
              </w:rPr>
            </w:pPr>
            <w:r>
              <w:rPr>
                <w:rFonts w:ascii="Times New Roman" w:cs="Times New Roman" w:eastAsia="Times New Roman" w:hAnsi="Times New Roman"/>
                <w:sz w:val="14"/>
                <w:szCs w:val="14"/>
                <w:color w:val="auto"/>
              </w:rPr>
              <w:t>278,828</w:t>
            </w:r>
          </w:p>
        </w:tc>
        <w:tc>
          <w:tcPr>
            <w:tcW w:w="1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2025, there was $6.5 million of total unrecognized compensation cost related to unvested performance share awards that is expected to be recognized over a weighted-average period of 2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stock unit awards are generally granted on an annual basis to certain employees that are not executive officers and occasionally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In rare circumstances, such awards may have performance-based rather than time-based vesting requirements.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related to the company's restricted stock unit awards are as follows (dollars in millions, except per award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per award at date of grant</w:t>
            </w:r>
          </w:p>
        </w:tc>
        <w:tc>
          <w:tcPr>
            <w:tcW w:w="280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74.81</w:t>
            </w:r>
          </w:p>
        </w:tc>
        <w:tc>
          <w:tcPr>
            <w:tcW w:w="9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96.58</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103.40</w:t>
            </w:r>
          </w:p>
        </w:tc>
      </w:tr>
      <w:tr>
        <w:trPr>
          <w:trHeight w:val="19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Fair value of restricted stock units vested</w:t>
            </w:r>
          </w:p>
        </w:tc>
        <w:tc>
          <w:tcPr>
            <w:tcW w:w="280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9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7.7</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fiscal 2025 activity for unvested restricted stock units: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80" w:type="dxa"/>
            <w:vAlign w:val="bottom"/>
            <w:tcBorders>
              <w:top w:val="single" w:sz="8" w:color="auto"/>
            </w:tcBorders>
          </w:tcPr>
          <w:p>
            <w:pPr>
              <w:spacing w:after="0"/>
              <w:rPr>
                <w:sz w:val="13"/>
                <w:szCs w:val="13"/>
                <w:color w:val="auto"/>
              </w:rPr>
            </w:pPr>
          </w:p>
        </w:tc>
        <w:tc>
          <w:tcPr>
            <w:tcW w:w="4580" w:type="dxa"/>
            <w:vAlign w:val="bottom"/>
            <w:tcBorders>
              <w:top w:val="single" w:sz="8" w:color="auto"/>
            </w:tcBorders>
            <w:vMerge w:val="restart"/>
          </w:tcPr>
          <w:p>
            <w:pPr>
              <w:ind w:left="336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8"/>
              <w:spacing w:after="0" w:line="15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4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Fair Value at Date</w:t>
            </w:r>
          </w:p>
        </w:tc>
        <w:tc>
          <w:tcPr>
            <w:tcW w:w="0" w:type="dxa"/>
            <w:vAlign w:val="bottom"/>
          </w:tcPr>
          <w:p>
            <w:pPr>
              <w:spacing w:after="0"/>
              <w:rPr>
                <w:sz w:val="1"/>
                <w:szCs w:val="1"/>
                <w:color w:val="auto"/>
              </w:rPr>
            </w:pPr>
          </w:p>
        </w:tc>
      </w:tr>
      <w:tr>
        <w:trPr>
          <w:trHeight w:val="198"/>
        </w:trPr>
        <w:tc>
          <w:tcPr>
            <w:tcW w:w="528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of Grant</w:t>
            </w:r>
          </w:p>
        </w:tc>
        <w:tc>
          <w:tcPr>
            <w:tcW w:w="0" w:type="dxa"/>
            <w:vAlign w:val="bottom"/>
          </w:tcPr>
          <w:p>
            <w:pPr>
              <w:spacing w:after="0"/>
              <w:rPr>
                <w:sz w:val="1"/>
                <w:szCs w:val="1"/>
                <w:color w:val="auto"/>
              </w:rPr>
            </w:pPr>
          </w:p>
        </w:tc>
      </w:tr>
      <w:tr>
        <w:trPr>
          <w:trHeight w:val="20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2024</w:t>
            </w:r>
          </w:p>
        </w:tc>
        <w:tc>
          <w:tcPr>
            <w:tcW w:w="4580" w:type="dxa"/>
            <w:vAlign w:val="bottom"/>
            <w:shd w:val="clear" w:color="auto" w:fill="CCEEFF"/>
          </w:tcPr>
          <w:p>
            <w:pPr>
              <w:ind w:left="4000"/>
              <w:spacing w:after="0"/>
              <w:rPr>
                <w:sz w:val="20"/>
                <w:szCs w:val="20"/>
                <w:color w:val="auto"/>
              </w:rPr>
            </w:pPr>
            <w:r>
              <w:rPr>
                <w:rFonts w:ascii="Times New Roman" w:cs="Times New Roman" w:eastAsia="Times New Roman" w:hAnsi="Times New Roman"/>
                <w:sz w:val="14"/>
                <w:szCs w:val="14"/>
                <w:color w:val="auto"/>
              </w:rPr>
              <w:t>191,168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0" w:type="dxa"/>
            <w:vAlign w:val="bottom"/>
          </w:tcPr>
          <w:p>
            <w:pPr>
              <w:spacing w:after="0"/>
              <w:rPr>
                <w:sz w:val="1"/>
                <w:szCs w:val="1"/>
                <w:color w:val="auto"/>
              </w:rPr>
            </w:pPr>
          </w:p>
        </w:tc>
      </w:tr>
      <w:tr>
        <w:trPr>
          <w:trHeight w:val="19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4580" w:type="dxa"/>
            <w:vAlign w:val="bottom"/>
          </w:tcPr>
          <w:p>
            <w:pPr>
              <w:ind w:left="4000"/>
              <w:spacing w:after="0"/>
              <w:rPr>
                <w:sz w:val="20"/>
                <w:szCs w:val="20"/>
                <w:color w:val="auto"/>
              </w:rPr>
            </w:pPr>
            <w:r>
              <w:rPr>
                <w:rFonts w:ascii="Times New Roman" w:cs="Times New Roman" w:eastAsia="Times New Roman" w:hAnsi="Times New Roman"/>
                <w:sz w:val="14"/>
                <w:szCs w:val="14"/>
                <w:color w:val="auto"/>
              </w:rPr>
              <w:t>149,011</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4580" w:type="dxa"/>
            <w:vAlign w:val="bottom"/>
            <w:shd w:val="clear" w:color="auto" w:fill="CCEEFF"/>
          </w:tcPr>
          <w:p>
            <w:pPr>
              <w:ind w:left="4020"/>
              <w:spacing w:after="0"/>
              <w:rPr>
                <w:sz w:val="20"/>
                <w:szCs w:val="20"/>
                <w:color w:val="auto"/>
              </w:rPr>
            </w:pPr>
            <w:r>
              <w:rPr>
                <w:rFonts w:ascii="Times New Roman" w:cs="Times New Roman" w:eastAsia="Times New Roman" w:hAnsi="Times New Roman"/>
                <w:sz w:val="14"/>
                <w:szCs w:val="14"/>
                <w:color w:val="auto"/>
              </w:rPr>
              <w:t>(82,347)</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96.49</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4580" w:type="dxa"/>
            <w:vAlign w:val="bottom"/>
            <w:tcBorders>
              <w:bottom w:val="single" w:sz="8" w:color="auto"/>
            </w:tcBorders>
          </w:tcPr>
          <w:p>
            <w:pPr>
              <w:ind w:left="4020"/>
              <w:spacing w:after="0"/>
              <w:rPr>
                <w:sz w:val="20"/>
                <w:szCs w:val="20"/>
                <w:color w:val="auto"/>
              </w:rPr>
            </w:pPr>
            <w:r>
              <w:rPr>
                <w:rFonts w:ascii="Times New Roman" w:cs="Times New Roman" w:eastAsia="Times New Roman" w:hAnsi="Times New Roman"/>
                <w:sz w:val="14"/>
                <w:szCs w:val="14"/>
                <w:color w:val="auto"/>
              </w:rPr>
              <w:t>(16,670)</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94.90</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2025</w:t>
            </w:r>
          </w:p>
        </w:tc>
        <w:tc>
          <w:tcPr>
            <w:tcW w:w="4580" w:type="dxa"/>
            <w:vAlign w:val="bottom"/>
            <w:tcBorders>
              <w:bottom w:val="single" w:sz="8" w:color="auto"/>
            </w:tcBorders>
            <w:shd w:val="clear" w:color="auto" w:fill="CCEEFF"/>
          </w:tcPr>
          <w:p>
            <w:pPr>
              <w:ind w:left="4000"/>
              <w:spacing w:after="0"/>
              <w:rPr>
                <w:sz w:val="20"/>
                <w:szCs w:val="20"/>
                <w:color w:val="auto"/>
              </w:rPr>
            </w:pPr>
            <w:r>
              <w:rPr>
                <w:rFonts w:ascii="Times New Roman" w:cs="Times New Roman" w:eastAsia="Times New Roman" w:hAnsi="Times New Roman"/>
                <w:sz w:val="14"/>
                <w:szCs w:val="14"/>
                <w:color w:val="auto"/>
              </w:rPr>
              <w:t>241,162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4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2025, there was $12.6 million of total unrecognized compensation cost related to unvested restricted stock units that is expected to be recognized over a weighted-average period of 2.36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Unrestricted Common Stock Awards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2025, 2024, and 2023, 8,808, 7,544, and 10,329 shares, respectively, of fully vested unrestricted common stock awards were granted to certain Board members as a component of their compensation for their service on the Board and were recorded within selling, general and administrative expense in the Consolidated Statements of Earnings. Additionally, our Board members may elect to convert a portion or all of their calendar year annual retainers otherwise payable in cash into shares of the company's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deferred compensation plan that allows executive officers and certain other employees that receive performance share awards to defer receipt of shares of the company's common stock paid out under such awards to a date in the future. Participants can defer up to 100 percent of the common stock payout and are always 100 percent vested in their accounts. Common stock payout deferrals under this plan are held in a rabbi trust and treated in a manner similar to treasury shares and are recorded at cost within stockholders' equity in the Consolidated Balance Sheets as of October 31, 2025 and 2024. The total of common stock required to settle this deferred compensation obligation is included in the denominator of the calculation of both basic and diluted net earnings per share of common stock.</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10 </w:t>
      </w:r>
      <w:r>
        <w:rPr>
          <w:rFonts w:ascii="Times New Roman" w:cs="Times New Roman" w:eastAsia="Times New Roman" w:hAnsi="Times New Roman"/>
          <w:sz w:val="19"/>
          <w:szCs w:val="19"/>
          <w:b w:val="1"/>
          <w:bCs w:val="1"/>
          <w:color w:val="auto"/>
        </w:rPr>
        <w:t>Stockholders'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2025 and 2024, the company paid $290.0 million and $245.5 million to repurchase 3,780,167 and 2,777,534 shares of common stock under the stock repurchase program, respectively. As of October 31, 2025, 4,391,790 shares of common stock remain available for repurchase.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Treasury shares generally consist of shares of the company's common stock repurchased under the stock repurchase program. The company values treasury shares on an average cost basis. As of October 31, 2025, the company had a total of 29,918,769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treasury shares at a total average cost of $2,244.8 million. As of October 31, 2024, the company had a total of 26,319,681 treasury shares at a total average cost of $1,968.9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AOCL, net of tax, within the Consolidated Statements of Stockholders' Equity were as follows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October 31</w:t>
            </w:r>
          </w:p>
        </w:tc>
        <w:tc>
          <w:tcPr>
            <w:tcW w:w="3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2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25.4</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95"/>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benefits</w:t>
            </w:r>
          </w:p>
        </w:tc>
        <w:tc>
          <w:tcPr>
            <w:tcW w:w="3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3"/>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derivative instruments</w:t>
            </w:r>
          </w:p>
        </w:tc>
        <w:tc>
          <w:tcPr>
            <w:tcW w:w="3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96"/>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accumulated other comprehensive loss</w:t>
            </w:r>
          </w:p>
        </w:tc>
        <w:tc>
          <w:tcPr>
            <w:tcW w:w="32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35.1</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and activity of AOCL, net of tax, were as follows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88"/>
              <w:spacing w:after="0" w:line="15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68"/>
              <w:spacing w:after="0" w:line="151"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2"/>
                <w:szCs w:val="12"/>
                <w:color w:val="auto"/>
              </w:rPr>
            </w:pPr>
          </w:p>
        </w:tc>
        <w:tc>
          <w:tcPr>
            <w:tcW w:w="12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60" w:type="dxa"/>
            <w:vAlign w:val="bottom"/>
          </w:tcPr>
          <w:p>
            <w:pPr>
              <w:spacing w:after="0"/>
              <w:rPr>
                <w:sz w:val="12"/>
                <w:szCs w:val="12"/>
                <w:color w:val="auto"/>
              </w:rPr>
            </w:pPr>
          </w:p>
        </w:tc>
        <w:tc>
          <w:tcPr>
            <w:tcW w:w="1200" w:type="dxa"/>
            <w:vAlign w:val="bottom"/>
          </w:tcPr>
          <w:p>
            <w:pPr>
              <w:jc w:val="center"/>
              <w:ind w:right="168"/>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center"/>
              <w:ind w:left="708"/>
              <w:spacing w:after="0"/>
              <w:rPr>
                <w:sz w:val="20"/>
                <w:szCs w:val="20"/>
                <w:color w:val="auto"/>
              </w:rPr>
            </w:pPr>
            <w:r>
              <w:rPr>
                <w:rFonts w:ascii="Times New Roman" w:cs="Times New Roman" w:eastAsia="Times New Roman" w:hAnsi="Times New Roman"/>
                <w:sz w:val="14"/>
                <w:szCs w:val="14"/>
                <w:color w:val="auto"/>
              </w:rPr>
              <w:t>7.8</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195"/>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0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18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260" w:type="dxa"/>
            <w:vAlign w:val="bottom"/>
          </w:tcPr>
          <w:p>
            <w:pPr>
              <w:spacing w:after="0"/>
              <w:rPr>
                <w:sz w:val="16"/>
                <w:szCs w:val="16"/>
                <w:color w:val="auto"/>
              </w:rPr>
            </w:pPr>
          </w:p>
        </w:tc>
        <w:tc>
          <w:tcPr>
            <w:tcW w:w="120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1.9</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AOCL</w:t>
            </w:r>
          </w:p>
        </w:tc>
        <w:tc>
          <w:tcPr>
            <w:tcW w:w="1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rPr>
              <w:t>(5.1)</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688"/>
              <w:spacing w:after="0"/>
              <w:rPr>
                <w:sz w:val="20"/>
                <w:szCs w:val="20"/>
                <w:color w:val="auto"/>
              </w:rPr>
            </w:pPr>
            <w:r>
              <w:rPr>
                <w:rFonts w:ascii="Times New Roman" w:cs="Times New Roman" w:eastAsia="Times New Roman" w:hAnsi="Times New Roman"/>
                <w:sz w:val="14"/>
                <w:szCs w:val="14"/>
                <w:color w:val="auto"/>
              </w:rPr>
              <w:t>(3.2)</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21"/>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center"/>
              <w:ind w:left="708"/>
              <w:spacing w:after="0"/>
              <w:rPr>
                <w:sz w:val="20"/>
                <w:szCs w:val="20"/>
                <w:color w:val="auto"/>
              </w:rPr>
            </w:pPr>
            <w:r>
              <w:rPr>
                <w:rFonts w:ascii="Times New Roman" w:cs="Times New Roman" w:eastAsia="Times New Roman" w:hAnsi="Times New Roman"/>
                <w:sz w:val="14"/>
                <w:szCs w:val="14"/>
                <w:color w:val="auto"/>
              </w:rPr>
              <w:t>4.6</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88"/>
              <w:spacing w:after="0" w:line="15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68"/>
              <w:spacing w:after="0" w:line="151"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2"/>
                <w:szCs w:val="12"/>
                <w:color w:val="auto"/>
              </w:rPr>
            </w:pPr>
          </w:p>
        </w:tc>
        <w:tc>
          <w:tcPr>
            <w:tcW w:w="12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60" w:type="dxa"/>
            <w:vAlign w:val="bottom"/>
          </w:tcPr>
          <w:p>
            <w:pPr>
              <w:spacing w:after="0"/>
              <w:rPr>
                <w:sz w:val="12"/>
                <w:szCs w:val="12"/>
                <w:color w:val="auto"/>
              </w:rPr>
            </w:pPr>
          </w:p>
        </w:tc>
        <w:tc>
          <w:tcPr>
            <w:tcW w:w="1200" w:type="dxa"/>
            <w:vAlign w:val="bottom"/>
          </w:tcPr>
          <w:p>
            <w:pPr>
              <w:jc w:val="center"/>
              <w:ind w:right="168"/>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5"/>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0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18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AOCL</w:t>
            </w:r>
          </w:p>
        </w:tc>
        <w:tc>
          <w:tcPr>
            <w:tcW w:w="1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16.8</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21"/>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on the components reclassified from AOCL to the respective line items in net earnings for derivative instruments refer to Note 13,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11 </w:t>
      </w:r>
      <w:r>
        <w:rPr>
          <w:rFonts w:ascii="Times New Roman" w:cs="Times New Roman" w:eastAsia="Times New Roman" w:hAnsi="Times New Roman"/>
          <w:sz w:val="19"/>
          <w:szCs w:val="19"/>
          <w:b w:val="1"/>
          <w:bCs w:val="1"/>
          <w:color w:val="auto"/>
        </w:rPr>
        <w:t>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 Arrangements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inventory financing arrangements with Red Iron,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SOFR, or an alternative variable rate, plus a fixed percentage that differs based on whether the financing is for a distributor or dealer. Rates may also vary based on the product that is financed.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this arrangement with Red Iron during fiscal 2025, 2024, and 2023 was $2,680.9 million, $2,613.3 million, and $2,789.5 million, respectively. The total amount of net receivables outstanding under this arrangement with Red Iron as of October 31, 2025 and 2024 was $807.6 million and $979.6 million, respectively. The total amount of receivables due from Red Iron to the company as of October 31, 2025 and 2024 were $21.6 million and $26.0 million, respectively.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arrangements with HCFC and the other third-party financial institutions during fiscal 2025, 2024, and 2023 was $712.5 million, $612.1 million, and $545.4 million, respectively. As of October 31, 2025 and 2024, $308.3 million and $272.2 million, respectively, of receivables financed by HCFC and the other third-party financial institutions were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Repurchase Agreements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a limited inventory repurchase agreement with Red Iron and HCFC under which the company has agreed to repurchase certain repossessed products, up to a maximum aggregate amount of $7.5 million in a calendar year.</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inventory repurchase agreements with the other third-party financial institutions under which the company has agreed to repurchase certain repossessed products. Under these agreements, for the fiscal years ended October 31, 2025 and 2024, the company was contingently liable to repurchase up to $29.0 million and $29.5 million of repossessed inventory, respectively.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during the fiscal years ended October 31, 2025, 2024, and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agreements with third-party financing companies to provide financing options to end-customers throughout the world. The company has no material contingent liabilities for residual value or credit collection risk under these agreements with third-party financing companies. From time to time, the company enters into agreements where it provides recourse to third-party finance companies in the event of default by the end-customer for financing payments to the third-party finance company. The company's maximum exposure for credit collection for the fiscal years ended October 31, 2025 and 2024 was $4.1 million and $2.9 million,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October 31, 2025, the company had $6.9 million of noncancelable purchase commitments with certain of the company's suppliers for commodities as part of the normal course of business. As of October 31, 2025, and described in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had an agreement to acquire Tornado Infrastructure Equipment Ltd. for a purchase price of Canadian Dollar ("CAD") $279.3 million in cash, representing CAD $1.92 per share. As of October 31, 2025, the company did not have material noncancelable purchase commitments related to capital expenditures for renovation and expansion efforts at the company's facilities and other property, plant, and equipment.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matters, individually or in the aggregate, will not materially affect the company's consolidated results of operations, financial position, or cash flows. 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Consolidated Financial Statements prior to the settlement of the underlying events or contingencies associated with the gain contingency. As a result, the consideration related to a gain contingency is recorded in the Consolidated Financial Statements during the period in which all underlying events or contingencies are resolved and the gain is realized.</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12 </w:t>
      </w:r>
      <w:r>
        <w:rPr>
          <w:rFonts w:ascii="Times New Roman" w:cs="Times New Roman" w:eastAsia="Times New Roman" w:hAnsi="Times New Roman"/>
          <w:sz w:val="19"/>
          <w:szCs w:val="19"/>
          <w:b w:val="1"/>
          <w:bCs w:val="1"/>
          <w:color w:val="auto"/>
        </w:rPr>
        <w:t>Leases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lease term begins and is determined upon lease commencement, which is the point in time when the company takes possession of the identified asset, and includes all non-cancelable periods. The lease term may also include options to extend or terminate the lease when it is reasonably certain that such options will be exercised after considering all relevant economic and financial factors. Options to extend or terminate a lease are generally exercisable at the company's sole discretion, subject to any required minimum notification period and/or other contractual terms as defined within the respective lease agreement, as applicable. The company's renewal options generally range from extended terms of two to ten years. Certain leases also include options to purchase the identified asset. Lease expense for the company's operating leases is recognized on a straight-line basis over the lease term and is recorded in cost of sales or selling, general and administrative expense within the Consolidated Statements of Earnings depending on the nature and use of the identified asset underlying the respective operating lease arrangement.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Additionally, the company's operating leases generally do not include material residual value guarantees. The company has operating leases with both lease components and non-lease components. For all underlying asset classes,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discounted to present value based on the rate implicit in the operating lease agreement or the estimated incremental borrowing rate at lease commencement if the rate implicit in the lease is not readily determinable. Generally, the estimated incremental borrowing rate is used as the rate implicit in the lease is not readily determinable. The estimated incremental borrowing rate represents the rate of interest that the company would have to pay to borrow on a general and unsecured collateralized basis over a similar term, an amount equal to the lease payments in a similar economic environment. The company determines the estimated incremental borrowing rate at lease commencement based on available information at such time, including lease term, lease currency, and geographical market. Right-of-use assets are measured as the amount of the corresponding operating lease liability for the respective operating lease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 adjusted for prepaid or accrued lease payments, the remaining balance of any lease incentives received, unamortized initial direct costs, and impairment of the operating lease right-of-use asset, as applicable.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lease expense incurred on the company’s operating, short-term, and variable leases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w:t>
            </w:r>
          </w:p>
        </w:tc>
        <w:tc>
          <w:tcPr>
            <w:tcW w:w="29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29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36.1</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95"/>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expense</w:t>
            </w:r>
          </w:p>
        </w:tc>
        <w:tc>
          <w:tcPr>
            <w:tcW w:w="29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3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3"/>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expense</w:t>
            </w:r>
          </w:p>
        </w:tc>
        <w:tc>
          <w:tcPr>
            <w:tcW w:w="29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lease expense</w:t>
            </w:r>
          </w:p>
        </w:tc>
        <w:tc>
          <w:tcPr>
            <w:tcW w:w="29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42.3</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40.6</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27"/>
        </w:trPr>
        <w:tc>
          <w:tcPr>
            <w:tcW w:w="44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company's operating leases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w:t>
            </w:r>
          </w:p>
        </w:tc>
        <w:tc>
          <w:tcPr>
            <w:tcW w:w="14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14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23.1</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r>
      <w:tr>
        <w:trPr>
          <w:trHeight w:val="196"/>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Operating cash flows for amounts included in the measurement of lease liabilities</w:t>
            </w:r>
          </w:p>
        </w:tc>
        <w:tc>
          <w:tcPr>
            <w:tcW w:w="14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27.0</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25.8</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lease information related to the company's operating leases as of October 31, 2025 and October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Borders>
              <w:top w:val="single" w:sz="8" w:color="auto"/>
              <w:bottom w:val="single" w:sz="8" w:color="auto"/>
            </w:tcBorders>
          </w:tcPr>
          <w:p>
            <w:pPr>
              <w:spacing w:after="0"/>
              <w:rPr>
                <w:sz w:val="18"/>
                <w:szCs w:val="18"/>
                <w:color w:val="auto"/>
              </w:rPr>
            </w:pPr>
          </w:p>
        </w:tc>
        <w:tc>
          <w:tcPr>
            <w:tcW w:w="36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14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0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of operating leases in years</w:t>
            </w:r>
          </w:p>
        </w:tc>
        <w:tc>
          <w:tcPr>
            <w:tcW w:w="36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96"/>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 of operating leases</w:t>
            </w:r>
          </w:p>
        </w:tc>
        <w:tc>
          <w:tcPr>
            <w:tcW w:w="3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5.04 %</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5.00 %</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Consolidated Balance Sheets as of October 31, 2025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Borders>
              <w:top w:val="single" w:sz="8" w:color="auto"/>
              <w:bottom w:val="single" w:sz="8" w:color="auto"/>
            </w:tcBorders>
          </w:tcPr>
          <w:p>
            <w:pPr>
              <w:spacing w:after="0"/>
              <w:rPr>
                <w:sz w:val="18"/>
                <w:szCs w:val="18"/>
                <w:color w:val="auto"/>
              </w:rPr>
            </w:pPr>
          </w:p>
        </w:tc>
        <w:tc>
          <w:tcPr>
            <w:tcW w:w="36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October 31, 2025</w:t>
            </w:r>
          </w:p>
        </w:tc>
      </w:tr>
      <w:tr>
        <w:trPr>
          <w:trHeight w:val="20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9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6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6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19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6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36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96"/>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w:t>
            </w: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minimum operating lease payments</w:t>
            </w:r>
          </w:p>
        </w:tc>
        <w:tc>
          <w:tcPr>
            <w:tcW w:w="36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w:t>
            </w:r>
          </w:p>
        </w:tc>
      </w:tr>
      <w:tr>
        <w:trPr>
          <w:trHeight w:val="196"/>
        </w:trPr>
        <w:tc>
          <w:tcPr>
            <w:tcW w:w="6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3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221"/>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operating lease liabilities</w:t>
            </w:r>
          </w:p>
        </w:tc>
        <w:tc>
          <w:tcPr>
            <w:tcW w:w="3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36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13 </w:t>
      </w:r>
      <w:r>
        <w:rPr>
          <w:rFonts w:ascii="Times New Roman" w:cs="Times New Roman" w:eastAsia="Times New Roman" w:hAnsi="Times New Roman"/>
          <w:sz w:val="19"/>
          <w:szCs w:val="19"/>
          <w:b w:val="1"/>
          <w:bCs w:val="1"/>
          <w:color w:val="auto"/>
        </w:rPr>
        <w:t>Derivative</w:t>
      </w:r>
      <w:r>
        <w:rPr>
          <w:rFonts w:ascii="Times New Roman" w:cs="Times New Roman" w:eastAsia="Times New Roman" w:hAnsi="Times New Roman"/>
          <w:sz w:val="43"/>
          <w:szCs w:val="43"/>
          <w:b w:val="1"/>
          <w:bCs w:val="1"/>
          <w:color w:val="auto"/>
          <w:vertAlign w:val="subscript"/>
        </w:rPr>
        <w:t>Activities</w:t>
      </w:r>
      <w:r>
        <w:rPr>
          <w:rFonts w:ascii="Times New Roman" w:cs="Times New Roman" w:eastAsia="Times New Roman" w:hAnsi="Times New Roman"/>
          <w:sz w:val="43"/>
          <w:szCs w:val="43"/>
          <w:b w:val="1"/>
          <w:bCs w:val="1"/>
          <w:color w:val="auto"/>
        </w:rPr>
        <w:t xml:space="preserve"> </w:t>
      </w:r>
      <w:r>
        <w:rPr>
          <w:rFonts w:ascii="Times New Roman" w:cs="Times New Roman" w:eastAsia="Times New Roman" w:hAnsi="Times New Roman"/>
          <w:sz w:val="19"/>
          <w:szCs w:val="19"/>
          <w:b w:val="1"/>
          <w:bCs w:val="1"/>
          <w:color w:val="auto"/>
        </w:rPr>
        <w:t>Instruments and Hedging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Objective of Using Derivatives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hedging activities primarily involve the use of forward currency contracts to hedge most foreign currency transactions, including projected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 The company recognizes all derivative instruments at fair value on the Consolidated Balance Sheets as either assets or liabilities. The accounting for changes in the fair value of a derivative instrument depends on whether it has been designated and qualifies as a cash flow hedging instrument.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Hedging Instruments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projected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 Changes in the fair values of the spot rate component of outstanding, highly effective cash flow hedging instruments included in the assessment of hedge effectiveness are recorded in other comprehensive income within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projected trade sales and purchases is two years.</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Consolidated Statements of Earnings line item as the underlying exposure when the projected transaction affects net earnings. When the company discontinues cash flow hedge accounting because it is no longer probable, but it is still reasonably possible that the projected transaction will occur by the end of the originally expected period or within an additional two-month period of time thereafter, the gain or loss on the derivative instrument remains in AOCL and is reclassified to net earnings within the same Consolidated Statements of Earnings line item as the underlying exposure when the projected transaction affects net earnings. However, if it is probable that a projected transaction will not occur by the end of the originally specified time period or within an additional two-month period of time thereafter, the gains and losses that were in AOCL are immediately recognized in net earnings within other income, net in the Consolidated Statements of Earnings. In all situations in which cash flow hedge accounting is discontinued and the derivative instrument remains outstanding, the company carries the derivative instrument at its fair value on the Consolidated Balance Sheets, recognizing future changes in the fair value within other income, net in the Consolidated Statements of Earnings. As of October 31, 2025, the notional amount outstanding of forward currency contracts designated as cash flow hedging instruments was $364.4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Hedging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enters into foreign currency contracts that include forward currency contracts to mitigate the remeasurement of specific assets and liabilities on the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and location of the company’s derivative instruments on the Consolidated Balance Sheets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October 31</w:t>
            </w:r>
          </w:p>
        </w:tc>
        <w:tc>
          <w:tcPr>
            <w:tcW w:w="26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2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61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designated as cash flow hedging instruments:</w:t>
            </w:r>
          </w:p>
        </w:tc>
        <w:tc>
          <w:tcPr>
            <w:tcW w:w="2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1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not designated as cash flow hedging instruments:</w:t>
            </w:r>
          </w:p>
        </w:tc>
        <w:tc>
          <w:tcPr>
            <w:tcW w:w="2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61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0.5</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6"/>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derivative assets</w:t>
            </w:r>
          </w:p>
        </w:tc>
        <w:tc>
          <w:tcPr>
            <w:tcW w:w="2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2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61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designated as cash flow hedging instruments:</w:t>
            </w:r>
          </w:p>
        </w:tc>
        <w:tc>
          <w:tcPr>
            <w:tcW w:w="2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2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1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not designated as cash flow hedging instruments:</w:t>
            </w:r>
          </w:p>
        </w:tc>
        <w:tc>
          <w:tcPr>
            <w:tcW w:w="2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61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96"/>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2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7"/>
        </w:trPr>
        <w:tc>
          <w:tcPr>
            <w:tcW w:w="61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Consolidated Balance Sheets.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master netting arrangements on the fair value of the company’s derivative instruments that are recorded on the Consolidated Balance Sheets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October 31</w:t>
            </w:r>
          </w:p>
        </w:tc>
        <w:tc>
          <w:tcPr>
            <w:tcW w:w="30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3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Forward currency contracts:</w:t>
            </w: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amount of derivative assets</w:t>
            </w:r>
          </w:p>
        </w:tc>
        <w:tc>
          <w:tcPr>
            <w:tcW w:w="30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6"/>
        </w:trPr>
        <w:tc>
          <w:tcPr>
            <w:tcW w:w="5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Derivative liabilities offsetting derivative assets</w:t>
            </w:r>
          </w:p>
        </w:tc>
        <w:tc>
          <w:tcPr>
            <w:tcW w:w="30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21"/>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of derivative assets</w:t>
            </w:r>
          </w:p>
        </w:tc>
        <w:tc>
          <w:tcPr>
            <w:tcW w:w="30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3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Forward currency contracts:</w:t>
            </w:r>
          </w:p>
        </w:tc>
        <w:tc>
          <w:tcPr>
            <w:tcW w:w="3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5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amount of derivative liabilities</w:t>
            </w:r>
          </w:p>
        </w:tc>
        <w:tc>
          <w:tcPr>
            <w:tcW w:w="3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3"/>
        </w:trPr>
        <w:tc>
          <w:tcPr>
            <w:tcW w:w="5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 assets offsetting derivative liabilities</w:t>
            </w:r>
          </w:p>
        </w:tc>
        <w:tc>
          <w:tcPr>
            <w:tcW w:w="30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0.6</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amount of derivative liabilities</w:t>
            </w:r>
          </w:p>
        </w:tc>
        <w:tc>
          <w:tcPr>
            <w:tcW w:w="30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7"/>
        </w:trPr>
        <w:tc>
          <w:tcPr>
            <w:tcW w:w="57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impact and location of the amounts reclassified from AOCL into net earnings on the Consolidated Statements of Earnings and the impact of derivative instruments on the Consolidated Statements of Comprehensive Income for the company's derivatives designated as cash flow hedging instruments (dollars in millions):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6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3"/>
          </w:tcPr>
          <w:p>
            <w:pPr>
              <w:jc w:val="right"/>
              <w:ind w:right="28"/>
              <w:spacing w:after="0" w:line="151" w:lineRule="exact"/>
              <w:rPr>
                <w:sz w:val="20"/>
                <w:szCs w:val="20"/>
                <w:color w:val="auto"/>
              </w:rPr>
            </w:pPr>
            <w:r>
              <w:rPr>
                <w:rFonts w:ascii="Times New Roman" w:cs="Times New Roman" w:eastAsia="Times New Roman" w:hAnsi="Times New Roman"/>
                <w:sz w:val="14"/>
                <w:szCs w:val="14"/>
                <w:b w:val="1"/>
                <w:bCs w:val="1"/>
                <w:color w:val="auto"/>
              </w:rPr>
              <w:t>(Loss) Gain Reclassified from AOCL into</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3"/>
          </w:tcPr>
          <w:p>
            <w:pPr>
              <w:jc w:val="right"/>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Gain (Loss) Recognized in OCI on</w:t>
            </w:r>
          </w:p>
        </w:tc>
      </w:tr>
      <w:tr>
        <w:trPr>
          <w:trHeight w:val="195"/>
        </w:trPr>
        <w:tc>
          <w:tcPr>
            <w:tcW w:w="5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900" w:type="dxa"/>
            <w:vAlign w:val="bottom"/>
            <w:tcBorders>
              <w:bottom w:val="single" w:sz="8" w:color="auto"/>
            </w:tcBorders>
          </w:tcPr>
          <w:p>
            <w:pPr>
              <w:spacing w:after="0"/>
              <w:rPr>
                <w:sz w:val="16"/>
                <w:szCs w:val="16"/>
                <w:color w:val="auto"/>
              </w:rPr>
            </w:pPr>
          </w:p>
        </w:tc>
      </w:tr>
      <w:tr>
        <w:trPr>
          <w:trHeight w:val="195"/>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Derivatives designated as cash flow hedging instruments: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5"/>
        </w:trPr>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4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rPr>
              <w:t>(5.1)</w:t>
            </w:r>
          </w:p>
        </w:tc>
        <w:tc>
          <w:tcPr>
            <w:tcW w:w="4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6"/>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668"/>
              <w:spacing w:after="0"/>
              <w:rPr>
                <w:sz w:val="20"/>
                <w:szCs w:val="20"/>
                <w:color w:val="auto"/>
              </w:rPr>
            </w:pPr>
            <w:r>
              <w:rPr>
                <w:rFonts w:ascii="Times New Roman" w:cs="Times New Roman" w:eastAsia="Times New Roman" w:hAnsi="Times New Roman"/>
                <w:sz w:val="14"/>
                <w:szCs w:val="14"/>
                <w:color w:val="auto"/>
              </w:rPr>
              <w:t>8.3</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21"/>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derivatives designated as cash flow hedging instruments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center"/>
              <w:ind w:left="668"/>
              <w:spacing w:after="0"/>
              <w:rPr>
                <w:sz w:val="20"/>
                <w:szCs w:val="20"/>
                <w:color w:val="auto"/>
              </w:rPr>
            </w:pPr>
            <w:r>
              <w:rPr>
                <w:rFonts w:ascii="Times New Roman" w:cs="Times New Roman" w:eastAsia="Times New Roman" w:hAnsi="Times New Roman"/>
                <w:sz w:val="14"/>
                <w:szCs w:val="14"/>
                <w:color w:val="auto"/>
              </w:rPr>
              <w:t>3.2</w:t>
            </w:r>
          </w:p>
        </w:tc>
        <w:tc>
          <w:tcPr>
            <w:tcW w:w="46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2025 and 2024, the company recognized immaterial gains and losses, respectively, within other income, net on the Consolidated Statement of Earnings due to the discontinuance of cash flow hedge accounting on certain forward currency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designated as cash flow hedging instruments. As of October 31, 2025, the company expects to reclassify approximately $4.6 million of losses from AOCL to earnings during the next twelve months.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impact and location of derivative instruments on the Consolidated Statements of Earnings for the company’s derivatives designated as cash flow hedging instruments and the related components excluded from hedge effectiveness testing (dollars in millions):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8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3"/>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(Loss) Gain Recognized in Earnings on</w:t>
            </w:r>
          </w:p>
        </w:tc>
      </w:tr>
      <w:tr>
        <w:trPr>
          <w:trHeight w:val="196"/>
        </w:trPr>
        <w:tc>
          <w:tcPr>
            <w:tcW w:w="8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Cash Flow Hedging Instruments</w:t>
            </w:r>
          </w:p>
        </w:tc>
      </w:tr>
      <w:tr>
        <w:trPr>
          <w:trHeight w:val="196"/>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2025</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 of Sales</w:t>
            </w:r>
          </w:p>
        </w:tc>
      </w:tr>
      <w:tr>
        <w:trPr>
          <w:trHeight w:val="20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Statements of Earnings income (expense) amounts in which the effects of cash flow hedging instruments are recorded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4,510.4</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(3,005.6)</w:t>
            </w:r>
          </w:p>
        </w:tc>
      </w:tr>
      <w:tr>
        <w:trPr>
          <w:trHeight w:val="196"/>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(Loss) gain on derivatives designated as cash flow hedging instruments: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Amount of loss reclassified from AOCL into earnings</w:t>
            </w:r>
          </w:p>
        </w:tc>
        <w:tc>
          <w:tcPr>
            <w:tcW w:w="12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3"/>
        </w:trPr>
        <w:tc>
          <w:tcPr>
            <w:tcW w:w="8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on components excluded from effectiveness testing recognized in earnings based on changes in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8460" w:type="dxa"/>
            <w:vAlign w:val="bottom"/>
          </w:tcPr>
          <w:p>
            <w:pPr>
              <w:spacing w:after="0"/>
              <w:rPr>
                <w:sz w:val="12"/>
                <w:szCs w:val="12"/>
                <w:color w:val="auto"/>
              </w:rPr>
            </w:pPr>
          </w:p>
        </w:tc>
        <w:tc>
          <w:tcPr>
            <w:tcW w:w="2740" w:type="dxa"/>
            <w:vAlign w:val="bottom"/>
            <w:tcBorders>
              <w:top w:val="single" w:sz="8" w:color="auto"/>
            </w:tcBorders>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Gain Recognized in Earnings on Cash Flow</w:t>
            </w:r>
          </w:p>
        </w:tc>
      </w:tr>
      <w:tr>
        <w:trPr>
          <w:trHeight w:val="196"/>
        </w:trPr>
        <w:tc>
          <w:tcPr>
            <w:tcW w:w="8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Hedging Instruments</w:t>
            </w:r>
          </w:p>
        </w:tc>
      </w:tr>
      <w:tr>
        <w:trPr>
          <w:trHeight w:val="196"/>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2024</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 of Sales</w:t>
            </w:r>
          </w:p>
        </w:tc>
      </w:tr>
      <w:tr>
        <w:trPr>
          <w:trHeight w:val="20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Statements of Earnings income (expense) amounts in which the effects of cash flow hedging instruments are recorded</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4,583.8</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(3,034.5)</w:t>
            </w:r>
          </w:p>
        </w:tc>
      </w:tr>
      <w:tr>
        <w:trPr>
          <w:trHeight w:val="196"/>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Gain on derivatives designated as cash flow hedging instruments: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Amount of gain reclassified from AOCL into earnings</w:t>
            </w: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3"/>
        </w:trPr>
        <w:tc>
          <w:tcPr>
            <w:tcW w:w="8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on components excluded from effectiveness testing recognized in earnings based on changes in fair value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and location of derivative instruments on the Consolidated Statements of Earnings for the company’s derivatives not designated as cash flow hedging instruments (dollars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Loss on derivative instruments not designated as cash flow hedging instruments:</w:t>
            </w:r>
          </w:p>
        </w:tc>
        <w:tc>
          <w:tcPr>
            <w:tcW w:w="2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6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expense, net</w:t>
            </w:r>
          </w:p>
        </w:tc>
        <w:tc>
          <w:tcPr>
            <w:tcW w:w="21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6"/>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loss on derivatives not designated as cash flow hedging instruments</w:t>
            </w:r>
          </w:p>
        </w:tc>
        <w:tc>
          <w:tcPr>
            <w:tcW w:w="21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7"/>
        </w:trPr>
        <w:tc>
          <w:tcPr>
            <w:tcW w:w="65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14 </w:t>
      </w:r>
      <w:r>
        <w:rPr>
          <w:rFonts w:ascii="Times New Roman" w:cs="Times New Roman" w:eastAsia="Times New Roman" w:hAnsi="Times New Roman"/>
          <w:sz w:val="19"/>
          <w:szCs w:val="19"/>
          <w:b w:val="1"/>
          <w:bCs w:val="1"/>
          <w:color w:val="auto"/>
        </w:rPr>
        <w:t>Fair Value Measurements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Unadjusted quoted prices in active markets for identical assets or liabilities.</w:t>
      </w:r>
    </w:p>
    <w:p>
      <w:pPr>
        <w:spacing w:after="0" w:line="117"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 prices for similar assets or liabilities in active markets; quoted prices for identical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assets or liabilities.</w:t>
      </w:r>
    </w:p>
    <w:p>
      <w:pPr>
        <w:spacing w:after="0" w:line="63" w:lineRule="exact"/>
        <w:rPr>
          <w:sz w:val="20"/>
          <w:szCs w:val="20"/>
          <w:color w:val="auto"/>
        </w:rPr>
      </w:pPr>
    </w:p>
    <w:p>
      <w:pPr>
        <w:ind w:right="2220" w:firstLine="324"/>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reflecting management's assumptions about the inputs used in pricing the asset or liability.</w:t>
      </w:r>
      <w:r>
        <w:rPr>
          <w:rFonts w:ascii="Times New Roman" w:cs="Times New Roman" w:eastAsia="Times New Roman" w:hAnsi="Times New Roman"/>
          <w:sz w:val="18"/>
          <w:szCs w:val="18"/>
          <w:b w:val="1"/>
          <w:bCs w:val="1"/>
          <w:color w:val="auto"/>
        </w:rPr>
        <w:t xml:space="preserve"> Recurring Fair Value Measurements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by level within the fair value hierarchy, the company's financial assets and liabilities that are measured at fair value on a recurring basis as of October 31, 2025 and 2024, according to the valuation technique utilized to determine their fair values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122555</wp:posOffset>
            </wp:positionV>
            <wp:extent cx="26314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7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2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98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10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37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98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10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154305</wp:posOffset>
            </wp:positionV>
            <wp:extent cx="26314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2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98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37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98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0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For additional information regarding impairment related fair value measurements, refer to Note 1,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 and Related Data</w:t>
      </w:r>
      <w:r>
        <w:rPr>
          <w:rFonts w:ascii="Times New Roman" w:cs="Times New Roman" w:eastAsia="Times New Roman" w:hAnsi="Times New Roman"/>
          <w:sz w:val="18"/>
          <w:szCs w:val="18"/>
          <w:color w:val="auto"/>
        </w:rPr>
        <w:t xml:space="preserve">.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 For additional information on the company's business combinations and asset acquisitions and the related non-recurring fair value measurement of the assets acquired and liabilities assumed, refer to Note 2, </w:t>
      </w:r>
      <w:r>
        <w:rPr>
          <w:rFonts w:ascii="Times New Roman" w:cs="Times New Roman" w:eastAsia="Times New Roman" w:hAnsi="Times New Roman"/>
          <w:sz w:val="18"/>
          <w:szCs w:val="18"/>
          <w:i w:val="1"/>
          <w:iCs w:val="1"/>
          <w:color w:val="auto"/>
        </w:rPr>
        <w:t>Acquisitions and Divestitures.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October 31, 2025 and 2024, the company's long-term debt included $724.3 million and $524.2 million, respectively,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October 31, 2025, the estimated gross fair value of long-term debt with fixed interest rates was $733.1 million compared to its gross carrying amount of $724.3 million. As of October 31, 2024, the estimated gross fair value of long-term debt with fixed interest rates was $520.4 million compared to its gross carrying amount of $524.2 million. For additional information regarding long-term debt with fixed interest rates, refer to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15 </w:t>
      </w:r>
      <w:r>
        <w:rPr>
          <w:rFonts w:ascii="Times New Roman" w:cs="Times New Roman" w:eastAsia="Times New Roman" w:hAnsi="Times New Roman"/>
          <w:sz w:val="19"/>
          <w:szCs w:val="19"/>
          <w:b w:val="1"/>
          <w:bCs w:val="1"/>
          <w:color w:val="auto"/>
        </w:rPr>
        <w:t>Employee Retirement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The Toro Company Retirement Plan for eligible employees. The company's expenses under this plan, which include costs related to matching contributions and discretionary retirement fund contributions, as applicable, were $36.4 million, $32.0 million, and $38.1 million for the fiscal years ended October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defined benefit pension plan covering certain employees in the United Kingdom ("defined benefit retirement plan"). The projected and accumulated benefit obligation of the defined benefit retirement plan was $19.5 million and $19.6 million as of October 31, 2025 and 2024, respectively. The fair value of the defined benefit retirement plan assets as of October 31, 2025 and 2024 was $21.8 million and $20.7 million, respectively. The net funded status of the defined benefit retirement plan was fully funded as of October 31, 2025 and October 31, 2024.</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Service costs of the defined benefit retirement plans are presented in selling, general and administrative expense within the Consolidated Statements of Earnings. Non-service cost components of net periodic benefit cost (income), including realized gains or losses as a result of changes in actuarial valuation assumptions, are presented in other income, net within the Consolidated Statements of Earnings. The company recognized expense of $0.3 million, $0.4 million, and $0.2 million for the fiscal years ended October 31, 2025, 2024, and 2023 respectively.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omitted the remaining disclosures for the defined benefit retirement plan as the company deems this defined benefit retirement plan to be immaterial to its Consolidated Financial Statements.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16 </w:t>
      </w:r>
      <w:r>
        <w:rPr>
          <w:rFonts w:ascii="Times New Roman" w:cs="Times New Roman" w:eastAsia="Times New Roman" w:hAnsi="Times New Roman"/>
          <w:sz w:val="19"/>
          <w:szCs w:val="19"/>
          <w:b w:val="1"/>
          <w:bCs w:val="1"/>
          <w:color w:val="auto"/>
        </w:rPr>
        <w:t>Subsequent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Tornado Infrastructure Equipment, Ltd. ("Tornado Infrastructure Equipment")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2025, the company entered into an Arrangement Agreement ("Purchase Agreement") to acquire Tornado Infrastructure Equipment Ltd., a publicly held Calgary, Alberta company, a manufacturer in the hydrovac excavation solutions industry, for a purchase price of CAD $279.3 million in cash, representing CAD $1.92 per share. On December 8, 2025, ("Tornado Infrastructure Equipment closing date"), pursuant to the Purchase Agreement, the company completed its acquisition of Tornado Infrastructure Equipment. Tornado Infrastructure Equipment manufactures hydrovac excavation solutions and industrial equipment solutions for the underground construction, power transmission and energy markets and provides innovative product offerings that broaden and strengthen the company's Professional segment and expands its dealer network.</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acquisition, all of the outstanding equity securities of Tornado Infrastructure Equipment were canceled and now only represent the right to receive the applicable consideration as described in the Purchase Agreement. The company funded the acquisition with borrowings under its existing revolving credit facility and additional financial arrangements. Due to the limited time since the Tornado Infrastructure Equipment closing date, at this time it is impracticable for the company to make the additional disclosures required under the accounting standards codification guidance for business combinations as the company is still gathering information necessary to provide such disclosures.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all additional subsequent events and concluded that no other subsequent events have occurred that would require recognition in the Consolidated Financial Statements or disclosure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its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company's Chairman of the Board and Chief Executive Officer and Vice President and Chief Financial Officer, the effectiveness of the design and operation of the company's disclosure controls and procedures as of the end of the period covered by this Annual Report on Form 10-K. Based on that evaluation, the company's Chairman of the Board and Chief Executive Officer and Vice President and Chief Financial Officer concluded that the company's disclosure controls and procedures were effective as of the end of such period to provide reasonable assurance that information required to be disclosed in its Exchange Act reports is recorded, processed, summarized, and reported within the time periods specified in the SEC's rules and forms, and that such information relating to the company and its consolidated subsidiaries is accumulated and communicated to management, including the Chairman of the Board and Chief Executive Officer and Vice President and Chief Financial Officer, as appropriate to allow timely decisions regarding required disclosures.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report on internal control over financial reporting is included in this Annual Report on Form 10-K within Part II, Item 8, "Financial Statements and Supplementary Data," under the caption "Management's Report on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 of KPMG LLP, the company's independent registered public accounting firm, regarding the effectiveness of the company's internal control over financial reporting is included in this Annual Report on Form 10-K within Part II, Item 8, "Financial Statements and Supplementary Data," under the caption "Report of Independent Registered Public Accounting Firm."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fourth quarter of fiscal 2025 that has materially affected, or is reasonably likely to materially affect, the company's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and Non-Rule 10b5-1 Trading Arrangement Adoptions, Terminations, and Modifications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company’s fourth quarter ended October 31, 2025, none of its directors or “officers” (as defined in Rule 16a-1(f) under the Exchange Act) adopted or terminated a “Rule 10b5-1 trading arrangement” or “non-Rule 10b5-1 trading arrangement,” as each term is defined in Item 408(a) of SEC Regulation S-K.</w:t>
      </w:r>
    </w:p>
    <w:p>
      <w:pPr>
        <w:spacing w:after="0" w:line="64" w:lineRule="exact"/>
        <w:rPr>
          <w:sz w:val="20"/>
          <w:szCs w:val="20"/>
          <w:color w:val="auto"/>
        </w:rPr>
      </w:pPr>
    </w:p>
    <w:p>
      <w:pPr>
        <w:ind w:right="3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on executive officers required by this item is incorporated by reference from "Information About Our Executive Officers" in Part I of this Annual Report on Form 10-K. Additional information on certain executive officers and other information required by this item is incorporated by reference to information to be contained under the captions "Proposal One — Election of Directors — Information About Director Nominees and Continuing Directors," "Corporate Governance — Code of Conduct and Code of Ethics for our CEO and Senior Financial Personnel," "Corporate Governance — Board Committees," and “Stock Ownership — Delinquent Section 16(a) Reports” in the company's proxy statement for its 2026 Annual Meeting of Shareholders to be filed with the SEC.</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During the fourth quarter of fiscal 2025, the company did not make any material changes to the procedures by which shareholders may recommend nominees to the Board of Directors, as described in the company's proxy statement for its 2025 Annual Meeting of Shareholders. The company has a Code of Ethics for its CEO and Senior Financial Personnel, a copy of which is posted on the company's website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"Investors" link, then the "Corporate Governance" link, then the "Code of Conduct and Ethics" link). The company intends to satisfy the disclosure requirements of Item 5.05 of Form 8-K and applicable NYSE rules regarding amendments to or waivers from any provision of its Code of Ethics, as applicable, by posting such information on its website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"Investors" link, then the "Corporate Governance" link, then the "Code of Conduct and Ethics" link).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and/or other dispositions of its securities by directors, officers and employees, among other insiders. The company believes its insider trading policy is reasonably designed to promote compliance with applicable insider trading laws, rules and regulations, and NYSE listing standards. The company’s insider trading policy is filed as Exhibit 19 to this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"Director Compensation", "Compensation Discussion and Analysis" and "Executive Compensation" in the company's proxy statement for its 2026 Annual Meeting of Shareholders to be filed with the SEC.</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"Stock Ownership" and "Equity Compensation Plan Information" in the company's proxy statement for its 2026 Annual Meeting of Shareholders to be filed with the SEC.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 "Corporate Governance — Director Independence," "Corporate Governance — Board Committees" and "Corporate Governance — Related Person Transactions and Policies and Procedures Regarding Related Person Transactions" in the company's proxy statement for its 2026 Annual Meeting of Shareholders to be filed with the SEC.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2026 Annual Meeting of Shareholders to be filed with the SEC.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The Toro Company and its consolidated subsidiaries are included in Part II, Item 8, "Financial Statements and Supplementary Data," of this Annual Report on Form 10-K:</w:t>
      </w:r>
    </w:p>
    <w:p>
      <w:pPr>
        <w:spacing w:after="0" w:line="175"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09"/>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r>
        <w:trPr>
          <w:trHeight w:val="210"/>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Earnings for the fiscal years ended October 31, 2025, 2024, and 2023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09"/>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October 31, 2025, 2024, and 2023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09"/>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October 31, 2025 and 2024</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r>
      <w:tr>
        <w:trPr>
          <w:trHeight w:val="210"/>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October 31, 2025, 2024, and 2023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r>
      <w:tr>
        <w:trPr>
          <w:trHeight w:val="209"/>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for the fiscal years ended October 31, 2025, 2024, and 2023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r>
      <w:tr>
        <w:trPr>
          <w:trHeight w:val="210"/>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*KPMG LLP, Minneapolis, MN, PCAOB Firm ID No. 185.</w:t>
      </w:r>
    </w:p>
    <w:p>
      <w:pPr>
        <w:spacing w:after="0" w:line="11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Financial Statement Schedules</w:t>
      </w:r>
    </w:p>
    <w:p>
      <w:pPr>
        <w:spacing w:after="0" w:line="11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have been omitted because the required information is either inapplicable, immaterial, or the information is presented in the Consolidated Financial Statements or related Notes to Consolidated Financial Statements included in this Annual Report on Form 10-K.</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Exhibits</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incorporated herein by reference or are filed or furnished with this Annual Report on Form 10-K as indicated below:</w:t>
      </w:r>
    </w:p>
    <w:p>
      <w:pPr>
        <w:spacing w:after="0" w:line="223" w:lineRule="exact"/>
        <w:rPr>
          <w:sz w:val="20"/>
          <w:szCs w:val="20"/>
          <w:color w:val="auto"/>
        </w:rPr>
      </w:pPr>
    </w:p>
    <w:tbl>
      <w:tblPr>
        <w:tblLayout w:type="fixed"/>
        <w:tblInd w:w="1420" w:type="dxa"/>
        <w:tblCellMar>
          <w:top w:w="0" w:type="dxa"/>
          <w:left w:w="0" w:type="dxa"/>
          <w:bottom w:w="0" w:type="dxa"/>
          <w:right w:w="0" w:type="dxa"/>
        </w:tblCellMar>
      </w:tblPr>
      <w:tr>
        <w:trPr>
          <w:trHeight w:val="151"/>
        </w:trPr>
        <w:tc>
          <w:tcPr>
            <w:tcW w:w="920" w:type="dxa"/>
            <w:vAlign w:val="bottom"/>
            <w:tcBorders>
              <w:top w:val="single" w:sz="8" w:color="auto"/>
            </w:tcBorders>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960" w:type="dxa"/>
            <w:vAlign w:val="bottom"/>
            <w:tcBorders>
              <w:top w:val="single" w:sz="8" w:color="auto"/>
            </w:tcBorders>
            <w:gridSpan w:val="18"/>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960" w:type="dxa"/>
            <w:vAlign w:val="bottom"/>
            <w:tcBorders>
              <w:bottom w:val="single" w:sz="8" w:color="auto"/>
            </w:tcBorders>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92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2.1 (1)</w:t>
            </w:r>
          </w:p>
        </w:tc>
        <w:tc>
          <w:tcPr>
            <w:tcW w:w="9180" w:type="dxa"/>
            <w:vAlign w:val="bottom"/>
            <w:gridSpan w:val="22"/>
          </w:tcPr>
          <w:p>
            <w:pPr>
              <w:spacing w:after="0" w:line="147"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Agreement to Form Joint Venture dated August 12, 2009 by and between The Toro Company and TCF Inventory Finance, Inc. (incorporated by reference</w:t>
              </w:r>
            </w:hyperlink>
          </w:p>
        </w:tc>
        <w:tc>
          <w:tcPr>
            <w:tcW w:w="0" w:type="dxa"/>
            <w:vAlign w:val="bottom"/>
          </w:tcPr>
          <w:p>
            <w:pPr>
              <w:spacing w:after="0"/>
              <w:rPr>
                <w:sz w:val="1"/>
                <w:szCs w:val="1"/>
                <w:color w:val="auto"/>
              </w:rPr>
            </w:pPr>
          </w:p>
        </w:tc>
      </w:tr>
      <w:tr>
        <w:trPr>
          <w:trHeight w:val="128"/>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2.2 (1)</w:t>
            </w:r>
          </w:p>
        </w:tc>
        <w:tc>
          <w:tcPr>
            <w:tcW w:w="8960" w:type="dxa"/>
            <w:vAlign w:val="bottom"/>
            <w:tcBorders>
              <w:top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to Exhibit 2.1 to Registrant's Annual Report on Form 10-K for the fiscal year ended October 31, 2023, Commission File No. 1-8649).</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9180" w:type="dxa"/>
            <w:vAlign w:val="bottom"/>
            <w:gridSpan w:val="22"/>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First Amendment to Agreement to Form Joint Venture dated June 6, 2012 by and between The Toro Company and TCF Inventory Finance, Inc.</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908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(incorporated by reference to Exhibit 2.2 to Registrant's Annual Report on Form 10-K for the fiscal year ended October 31, 2023, Commission File No. 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1760" w:type="dxa"/>
            <w:vAlign w:val="bottom"/>
            <w:tcBorders>
              <w:top w:val="single" w:sz="8" w:color="0000FF"/>
            </w:tcBorders>
            <w:gridSpan w:val="2"/>
          </w:tcPr>
          <w:p>
            <w:pPr>
              <w:spacing w:after="0" w:line="115"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8649).</w:t>
              </w:r>
              <w:r>
                <w:rPr>
                  <w:rFonts w:ascii="Times New Roman" w:cs="Times New Roman" w:eastAsia="Times New Roman" w:hAnsi="Times New Roman"/>
                  <w:sz w:val="13"/>
                  <w:szCs w:val="13"/>
                  <w:color w:val="000000"/>
                </w:rPr>
                <w:t>**</w:t>
              </w:r>
            </w:hyperlink>
          </w:p>
        </w:tc>
        <w:tc>
          <w:tcPr>
            <w:tcW w:w="13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460" w:type="dxa"/>
            <w:vAlign w:val="bottom"/>
            <w:tcBorders>
              <w:top w:val="single" w:sz="8" w:color="0000FF"/>
            </w:tcBorders>
          </w:tcPr>
          <w:p>
            <w:pPr>
              <w:spacing w:after="0"/>
              <w:rPr>
                <w:sz w:val="10"/>
                <w:szCs w:val="10"/>
                <w:color w:val="auto"/>
              </w:rPr>
            </w:pPr>
          </w:p>
        </w:tc>
        <w:tc>
          <w:tcPr>
            <w:tcW w:w="1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2.3 (1)</w:t>
            </w:r>
          </w:p>
        </w:tc>
        <w:tc>
          <w:tcPr>
            <w:tcW w:w="36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9180" w:type="dxa"/>
            <w:vAlign w:val="bottom"/>
            <w:gridSpan w:val="22"/>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Second Amendment to Agreement to Form Joint Venture dated November 29, 2016 by and between The Toro Company and TCF Inventory Finance, Inc.</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890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(incorporated by reference to Exhibit 2.3 to Registrant's Annual Report on Form 10-K for the fiscal year ended October 31, 2023, Commission File No. 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1760" w:type="dxa"/>
            <w:vAlign w:val="bottom"/>
            <w:gridSpan w:val="2"/>
          </w:tcPr>
          <w:p>
            <w:pPr>
              <w:spacing w:after="0" w:line="115"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8649).</w:t>
              </w:r>
              <w:r>
                <w:rPr>
                  <w:rFonts w:ascii="Times New Roman" w:cs="Times New Roman" w:eastAsia="Times New Roman" w:hAnsi="Times New Roman"/>
                  <w:sz w:val="13"/>
                  <w:szCs w:val="13"/>
                  <w:color w:val="000000"/>
                </w:rPr>
                <w:t>**</w:t>
              </w:r>
            </w:hyperlink>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2.4 (1)</w:t>
            </w:r>
          </w:p>
        </w:tc>
        <w:tc>
          <w:tcPr>
            <w:tcW w:w="3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9180" w:type="dxa"/>
            <w:vAlign w:val="bottom"/>
            <w:gridSpan w:val="22"/>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Third Amendment to Agreement to Form Joint Venture effective as of December 20, 2019 by and between The Toro Company and TCF Inventory</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898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Finance, Inc. (incorporated by reference to Exhibit 2.2 to Registrant’s Quarterly Report on Form 10-Q for the fiscal quarter ended January 31, 2020,</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1760" w:type="dxa"/>
            <w:vAlign w:val="bottom"/>
            <w:tcBorders>
              <w:bottom w:val="single" w:sz="8" w:color="0000FF"/>
            </w:tcBorders>
            <w:gridSpan w:val="2"/>
          </w:tcPr>
          <w:p>
            <w:pPr>
              <w:spacing w:after="0" w:line="115"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Commission File No. 1-8649).</w:t>
              </w:r>
            </w:hyperlink>
          </w:p>
        </w:tc>
        <w:tc>
          <w:tcPr>
            <w:tcW w:w="7340" w:type="dxa"/>
            <w:vAlign w:val="bottom"/>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2.5 (1)</w:t>
            </w:r>
          </w:p>
        </w:tc>
        <w:tc>
          <w:tcPr>
            <w:tcW w:w="9180" w:type="dxa"/>
            <w:vAlign w:val="bottom"/>
            <w:gridSpan w:val="22"/>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Fourth Amendment to Agreement to Form Joint Venture dated as of March 26, 2021 and effective as of March 2, 2020 by and between The Toro</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914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Company and TCF Inventory Finance, Inc. (incorporated by reference to Exhibit 2.2 to Registrant's Quarterly Report on Form 10-Q for the fiscal quarter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3060" w:type="dxa"/>
            <w:vAlign w:val="bottom"/>
            <w:tcBorders>
              <w:top w:val="single" w:sz="8" w:color="0000FF"/>
              <w:bottom w:val="single" w:sz="8" w:color="0000FF"/>
            </w:tcBorders>
            <w:gridSpan w:val="3"/>
          </w:tcPr>
          <w:p>
            <w:pPr>
              <w:spacing w:after="0" w:line="115"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ended April 30, 2021, Commission File No. 1-8649).</w:t>
              </w:r>
            </w:hyperlink>
          </w:p>
        </w:tc>
        <w:tc>
          <w:tcPr>
            <w:tcW w:w="596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2.6 (1)</w:t>
            </w:r>
          </w:p>
        </w:tc>
        <w:tc>
          <w:tcPr>
            <w:tcW w:w="9180" w:type="dxa"/>
            <w:vAlign w:val="bottom"/>
            <w:gridSpan w:val="22"/>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Fifth Amendment to Agreement to Form Joint Venture dated and effective as of June 10, 2022 by and between The Toro Company and TCF Inventory</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888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Finance, Inc. (incorporated by reference to Exhibit 2.6 to Registrant's Annual Report on Form 10-K for the fiscal year ended October 31, 2022,</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1760" w:type="dxa"/>
            <w:vAlign w:val="bottom"/>
            <w:tcBorders>
              <w:bottom w:val="single" w:sz="8" w:color="0000FF"/>
            </w:tcBorders>
            <w:gridSpan w:val="2"/>
          </w:tcPr>
          <w:p>
            <w:pPr>
              <w:spacing w:after="0" w:line="115"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Commission File No. 1-8649).</w:t>
              </w:r>
            </w:hyperlink>
          </w:p>
        </w:tc>
        <w:tc>
          <w:tcPr>
            <w:tcW w:w="7240" w:type="dxa"/>
            <w:vAlign w:val="bottom"/>
            <w:gridSpan w:val="11"/>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2.7 (1)</w:t>
            </w:r>
          </w:p>
        </w:tc>
        <w:tc>
          <w:tcPr>
            <w:tcW w:w="9180" w:type="dxa"/>
            <w:vAlign w:val="bottom"/>
            <w:gridSpan w:val="22"/>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Limited Liability Company Agreement of Red Iron Acceptance, LLC dated August 12, 2009 by and between Red Iron Holding Corporation and TCFIF</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912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Joint Venture I, LLC (incorporated by reference to Exhibit 2.7 to Registrant's Annual Report on Form 10-K for the fiscal year ended October 31, 2023,</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8940" w:type="dxa"/>
            <w:vAlign w:val="bottom"/>
            <w:tcBorders>
              <w:top w:val="single" w:sz="8" w:color="0000FF"/>
            </w:tcBorders>
            <w:gridSpan w:val="10"/>
          </w:tcPr>
          <w:p>
            <w:pPr>
              <w:spacing w:after="0" w:line="115"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Commission File No. 1-8649).</w:t>
              </w:r>
              <w:r>
                <w:rPr>
                  <w:rFonts w:ascii="Times New Roman" w:cs="Times New Roman" w:eastAsia="Times New Roman" w:hAnsi="Times New Roman"/>
                  <w:sz w:val="13"/>
                  <w:szCs w:val="13"/>
                  <w:color w:val="000000"/>
                </w:rPr>
                <w:t>**</w:t>
              </w:r>
            </w:hyperlink>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2.8</w:t>
            </w:r>
          </w:p>
        </w:tc>
        <w:tc>
          <w:tcPr>
            <w:tcW w:w="176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9180" w:type="dxa"/>
            <w:vAlign w:val="bottom"/>
            <w:gridSpan w:val="22"/>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Amendment No. 1 to Limited Liability Company Agreement of Red Iron Acceptance, LLC dated May 31, 2011 by and between Red Iron Holding</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916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Corporation and TCFIF Joint Venture I, LLC (incorporated by reference to Exhibit 2.4 to Registrant's Annual Report on Form 10-K for the fiscal year</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9020" w:type="dxa"/>
            <w:vAlign w:val="bottom"/>
            <w:tcBorders>
              <w:top w:val="single" w:sz="8" w:color="0000FF"/>
            </w:tcBorders>
            <w:gridSpan w:val="14"/>
          </w:tcPr>
          <w:p>
            <w:pPr>
              <w:spacing w:after="0" w:line="115"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ended October 31, 2012,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2.9 (1)</w:t>
            </w:r>
          </w:p>
        </w:tc>
        <w:tc>
          <w:tcPr>
            <w:tcW w:w="3220" w:type="dxa"/>
            <w:vAlign w:val="bottom"/>
            <w:gridSpan w:val="4"/>
            <w:shd w:val="clear" w:color="auto" w:fill="0000FF"/>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9180" w:type="dxa"/>
            <w:vAlign w:val="bottom"/>
            <w:gridSpan w:val="22"/>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Second Amendment to Limited Liability Company Agreement of Red Iron Acceptance, LLC dated June 6, 2012 by and between Red Iron Holding</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904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Corporation and TCFIF Joint Venture I, LLC (incorporated by reference to Exhibit 2.9 to Registrant's Annual Report on Form 10-K for the fiscal year</w:t>
              </w:r>
            </w:hyperlink>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9020" w:type="dxa"/>
            <w:vAlign w:val="bottom"/>
            <w:tcBorders>
              <w:top w:val="single" w:sz="8" w:color="0000FF"/>
            </w:tcBorders>
            <w:gridSpan w:val="14"/>
          </w:tcPr>
          <w:p>
            <w:pPr>
              <w:spacing w:after="0" w:line="115"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ended October 31, 2023, Commission File No. 1-8649).</w:t>
              </w:r>
              <w:r>
                <w:rPr>
                  <w:rFonts w:ascii="Times New Roman" w:cs="Times New Roman" w:eastAsia="Times New Roman" w:hAnsi="Times New Roman"/>
                  <w:sz w:val="13"/>
                  <w:szCs w:val="13"/>
                  <w:color w:val="000000"/>
                </w:rPr>
                <w:t>**</w:t>
              </w:r>
            </w:hyperlink>
          </w:p>
        </w:tc>
        <w:tc>
          <w:tcPr>
            <w:tcW w:w="40" w:type="dxa"/>
            <w:vAlign w:val="bottom"/>
            <w:gridSpan w:val="2"/>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2.10 (1)</w:t>
            </w:r>
          </w:p>
        </w:tc>
        <w:tc>
          <w:tcPr>
            <w:tcW w:w="3220" w:type="dxa"/>
            <w:vAlign w:val="bottom"/>
            <w:gridSpan w:val="4"/>
            <w:shd w:val="clear" w:color="auto" w:fill="0000FF"/>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9180" w:type="dxa"/>
            <w:vAlign w:val="bottom"/>
            <w:gridSpan w:val="22"/>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Third Amendment to Limited Liability Company Agreement of Red Iron Acceptance, LLC dated November 29, 2016 by and between Red Iron Holding</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906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Corporation and TCFIF Joint Venture I, LLC (incorporated by reference to Exhibit 2.10 to Registrant's Annual Report on Form 10-K for the fiscal year</w:t>
              </w:r>
            </w:hyperlink>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8860" w:type="dxa"/>
            <w:vAlign w:val="bottom"/>
            <w:tcBorders>
              <w:top w:val="single" w:sz="8" w:color="0000FF"/>
            </w:tcBorders>
            <w:gridSpan w:val="6"/>
          </w:tcPr>
          <w:p>
            <w:pPr>
              <w:spacing w:after="0" w:line="115"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ended October 31, 2023, Commission File No. 1-8649).</w:t>
              </w:r>
              <w:r>
                <w:rPr>
                  <w:rFonts w:ascii="Times New Roman" w:cs="Times New Roman" w:eastAsia="Times New Roman" w:hAnsi="Times New Roman"/>
                  <w:sz w:val="13"/>
                  <w:szCs w:val="13"/>
                  <w:color w:val="000000"/>
                </w:rPr>
                <w:t>**</w:t>
              </w:r>
            </w:hyperlink>
          </w:p>
        </w:tc>
        <w:tc>
          <w:tcPr>
            <w:tcW w:w="60" w:type="dxa"/>
            <w:vAlign w:val="bottom"/>
            <w:gridSpan w:val="3"/>
          </w:tcPr>
          <w:p>
            <w:pPr>
              <w:spacing w:after="0"/>
              <w:rPr>
                <w:sz w:val="10"/>
                <w:szCs w:val="10"/>
                <w:color w:val="auto"/>
              </w:rPr>
            </w:pPr>
          </w:p>
        </w:tc>
        <w:tc>
          <w:tcPr>
            <w:tcW w:w="26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2.11</w:t>
            </w:r>
          </w:p>
        </w:tc>
        <w:tc>
          <w:tcPr>
            <w:tcW w:w="3220" w:type="dxa"/>
            <w:vAlign w:val="bottom"/>
            <w:gridSpan w:val="4"/>
            <w:shd w:val="clear" w:color="auto" w:fill="0000FF"/>
          </w:tcPr>
          <w:p>
            <w:pPr>
              <w:spacing w:after="0" w:line="20" w:lineRule="exact"/>
              <w:rPr>
                <w:sz w:val="1"/>
                <w:szCs w:val="1"/>
                <w:color w:val="auto"/>
              </w:rPr>
            </w:pPr>
          </w:p>
        </w:tc>
        <w:tc>
          <w:tcPr>
            <w:tcW w:w="5700" w:type="dxa"/>
            <w:vAlign w:val="bottom"/>
            <w:gridSpan w:val="5"/>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9180" w:type="dxa"/>
            <w:vAlign w:val="bottom"/>
            <w:gridSpan w:val="22"/>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Fourth Amendment to Limited Liability Company Agreement of Red Iron Acceptance, LLC dated as of July 17, 2019 by and between Red Iron Holding</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8920" w:type="dxa"/>
            <w:vAlign w:val="bottom"/>
            <w:tcBorders>
              <w:top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Corporation and TCFIF Joint Venture I, LLC (incorporated by reference to Exhibit 2.9 to Registrant's Annual Report on Form 10-K for the fiscal year</w:t>
              </w:r>
            </w:hyperlink>
          </w:p>
        </w:tc>
        <w:tc>
          <w:tcPr>
            <w:tcW w:w="260" w:type="dxa"/>
            <w:vAlign w:val="bottom"/>
            <w:gridSpan w:val="13"/>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3220" w:type="dxa"/>
            <w:vAlign w:val="bottom"/>
            <w:tcBorders>
              <w:top w:val="single" w:sz="8" w:color="0000FF"/>
              <w:bottom w:val="single" w:sz="8" w:color="0000FF"/>
            </w:tcBorders>
            <w:gridSpan w:val="4"/>
          </w:tcPr>
          <w:p>
            <w:pPr>
              <w:spacing w:after="0" w:line="115"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ended October 31, 2020, Commission File No. 1-8649).</w:t>
              </w:r>
            </w:hyperlink>
          </w:p>
        </w:tc>
        <w:tc>
          <w:tcPr>
            <w:tcW w:w="5800" w:type="dxa"/>
            <w:vAlign w:val="bottom"/>
            <w:tcBorders>
              <w:top w:val="single" w:sz="8" w:color="0000FF"/>
            </w:tcBorders>
            <w:gridSpan w:val="10"/>
          </w:tcPr>
          <w:p>
            <w:pPr>
              <w:spacing w:after="0"/>
              <w:rPr>
                <w:sz w:val="10"/>
                <w:szCs w:val="10"/>
                <w:color w:val="auto"/>
              </w:rPr>
            </w:pPr>
          </w:p>
        </w:tc>
        <w:tc>
          <w:tcPr>
            <w:tcW w:w="1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2.12</w:t>
            </w:r>
          </w:p>
        </w:tc>
        <w:tc>
          <w:tcPr>
            <w:tcW w:w="9340" w:type="dxa"/>
            <w:vAlign w:val="bottom"/>
            <w:gridSpan w:val="44"/>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Fifth Amendment to Limited Liability Company Agreement of Red Iron Acceptance, LLC effective as of December 20, 2019 by and between Red Iron</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920" w:type="dxa"/>
            <w:vAlign w:val="bottom"/>
            <w:tcBorders>
              <w:top w:val="single" w:sz="8" w:color="0000FF"/>
            </w:tcBorders>
            <w:gridSpan w:val="23"/>
          </w:tcPr>
          <w:p>
            <w:pPr>
              <w:spacing w:after="0" w:line="115"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Holding Corporation and TCFIF Joint Venture I, LLC (incorporated by reference to Exhibit 2.3 to Registrant’s Quarterly Report on Form 10-Q for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888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fiscal quarter ended January 31, 2020, Commission File No. 1-8649).</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2.13</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Sixth Amendment to Limited Liability Company Agreement of Red Iron Acceptance, LLC effective as of March 10, 2022 by and between Red Iron</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300" w:type="dxa"/>
            <w:vAlign w:val="bottom"/>
            <w:tcBorders>
              <w:top w:val="single" w:sz="8" w:color="0000FF"/>
            </w:tcBorders>
            <w:gridSpan w:val="42"/>
          </w:tcPr>
          <w:p>
            <w:pPr>
              <w:spacing w:after="0" w:line="115"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Holding Corporation and TCFIF Joint Venture I, LLC (incorporated by reference to Exhibit 2.13 to Registrant's Annual Report on Form 10-K for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9280" w:type="dxa"/>
            <w:vAlign w:val="bottom"/>
            <w:tcBorders>
              <w:top w:val="single" w:sz="8" w:color="0000FF"/>
            </w:tcBorders>
            <w:gridSpan w:val="41"/>
          </w:tcPr>
          <w:p>
            <w:pPr>
              <w:spacing w:after="0" w:line="12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fiscal year ended October 31, 2023, Commission File No. 1-8649).</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3.1 and 4.1</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Restated Certificate of Incorporation of The Toro Company (incorporated by reference to Exhibit 3.1 to Registrant’s Current Report on Form 8-K as filed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20" w:type="dxa"/>
            <w:vAlign w:val="bottom"/>
            <w:tcBorders>
              <w:top w:val="single" w:sz="8" w:color="0000FF"/>
            </w:tcBorders>
            <w:gridSpan w:val="38"/>
          </w:tcPr>
          <w:p>
            <w:pPr>
              <w:spacing w:after="0" w:line="115"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with the Securities and Exchange Commission on June 18, 2008, Commission File No. 1-8649).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3.2 and 4.2</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Certificate of Amendment to Restated Certificate of Incorporation of The Toro Company (incorporated by reference to Exhibit 3.1 to Registrant’s Current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7320" w:type="dxa"/>
            <w:vAlign w:val="bottom"/>
            <w:tcBorders>
              <w:top w:val="single" w:sz="8" w:color="0000FF"/>
              <w:bottom w:val="single" w:sz="8" w:color="0000FF"/>
            </w:tcBorders>
            <w:gridSpan w:val="17"/>
          </w:tcPr>
          <w:p>
            <w:pPr>
              <w:spacing w:after="0" w:line="115"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Report on Form 8-K as filed with the Securities and Exchange Commission on March 13, 2013, Commission File No. 1-8649).</w:t>
              </w:r>
            </w:hyperlink>
          </w:p>
        </w:tc>
        <w:tc>
          <w:tcPr>
            <w:tcW w:w="180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3.3 and 4.3</w:t>
            </w:r>
          </w:p>
        </w:tc>
        <w:tc>
          <w:tcPr>
            <w:tcW w:w="9340" w:type="dxa"/>
            <w:vAlign w:val="bottom"/>
            <w:gridSpan w:val="44"/>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Amended and Restated Bylaws of The Toro Company (incorporated by reference to Exhibit 3.1 to Registrant’s Current Report on Form 8-K as filed with</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5240" w:type="dxa"/>
            <w:vAlign w:val="bottom"/>
            <w:tcBorders>
              <w:top w:val="single" w:sz="8" w:color="0000FF"/>
              <w:bottom w:val="single" w:sz="8" w:color="0000FF"/>
            </w:tcBorders>
            <w:gridSpan w:val="11"/>
          </w:tcPr>
          <w:p>
            <w:pPr>
              <w:spacing w:after="0" w:line="115"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the Securities and Exchange Commission on May 30, 2023, Commission File No. 1-8649).</w:t>
              </w:r>
            </w:hyperlink>
          </w:p>
        </w:tc>
        <w:tc>
          <w:tcPr>
            <w:tcW w:w="380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4.4</w:t>
            </w:r>
          </w:p>
        </w:tc>
        <w:tc>
          <w:tcPr>
            <w:tcW w:w="9340" w:type="dxa"/>
            <w:vAlign w:val="bottom"/>
            <w:gridSpan w:val="44"/>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Specimen Form of Common Stock Certificate (incorporated by reference to Exhibit 4(c) to Registrant's Quarterly Report on Form 10-Q for the fiscal</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3540" w:type="dxa"/>
            <w:vAlign w:val="bottom"/>
            <w:tcBorders>
              <w:top w:val="single" w:sz="8" w:color="0000FF"/>
              <w:bottom w:val="single" w:sz="8" w:color="0000FF"/>
            </w:tcBorders>
            <w:gridSpan w:val="5"/>
          </w:tcPr>
          <w:p>
            <w:pPr>
              <w:spacing w:after="0" w:line="115"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quarter ended August 1, 2008, Commission File No. 1-8649).</w:t>
              </w:r>
            </w:hyperlink>
          </w:p>
        </w:tc>
        <w:tc>
          <w:tcPr>
            <w:tcW w:w="538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4.5</w:t>
            </w:r>
          </w:p>
        </w:tc>
        <w:tc>
          <w:tcPr>
            <w:tcW w:w="9340" w:type="dxa"/>
            <w:vAlign w:val="bottom"/>
            <w:gridSpan w:val="44"/>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Description of Common Stock of The Toro Company (incorporated by reference to Exhibit 4.5 to Registrant's Annual Report on Form 10-K for the fiscal</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3500" w:type="dxa"/>
            <w:vAlign w:val="bottom"/>
            <w:tcBorders>
              <w:top w:val="single" w:sz="8" w:color="0000FF"/>
              <w:bottom w:val="single" w:sz="8" w:color="0000FF"/>
            </w:tcBorders>
            <w:gridSpan w:val="4"/>
          </w:tcPr>
          <w:p>
            <w:pPr>
              <w:spacing w:after="0" w:line="115"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year ended October 31, 2023, Commission File No. 1-8649).</w:t>
              </w:r>
            </w:hyperlink>
          </w:p>
        </w:tc>
        <w:tc>
          <w:tcPr>
            <w:tcW w:w="5700" w:type="dxa"/>
            <w:vAlign w:val="bottom"/>
            <w:tcBorders>
              <w:top w:val="single" w:sz="8" w:color="0000FF"/>
            </w:tcBorders>
            <w:gridSpan w:val="3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4.6</w:t>
            </w:r>
          </w:p>
        </w:tc>
        <w:tc>
          <w:tcPr>
            <w:tcW w:w="9340" w:type="dxa"/>
            <w:vAlign w:val="bottom"/>
            <w:gridSpan w:val="44"/>
          </w:tcPr>
          <w:p>
            <w:pPr>
              <w:spacing w:after="0"/>
              <w:rPr>
                <w:sz w:val="20"/>
                <w:szCs w:val="20"/>
                <w:color w:val="auto"/>
              </w:rPr>
            </w:pPr>
            <w:r>
              <w:rPr>
                <w:rFonts w:ascii="Times New Roman" w:cs="Times New Roman" w:eastAsia="Times New Roman" w:hAnsi="Times New Roman"/>
                <w:sz w:val="14"/>
                <w:szCs w:val="14"/>
                <w:color w:val="auto"/>
              </w:rPr>
              <w:t>Indenture dated as of January 31, 1997 between Registrant and First National Trust Association, as Trustee, relating to The Toro Company's 7.80%</w:t>
            </w: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9340" w:type="dxa"/>
            <w:vAlign w:val="bottom"/>
            <w:gridSpan w:val="44"/>
          </w:tcPr>
          <w:p>
            <w:pPr>
              <w:spacing w:after="0" w:line="139" w:lineRule="exact"/>
              <w:rPr>
                <w:sz w:val="20"/>
                <w:szCs w:val="20"/>
                <w:color w:val="auto"/>
              </w:rPr>
            </w:pPr>
            <w:r>
              <w:rPr>
                <w:rFonts w:ascii="Times New Roman" w:cs="Times New Roman" w:eastAsia="Times New Roman" w:hAnsi="Times New Roman"/>
                <w:sz w:val="14"/>
                <w:szCs w:val="14"/>
                <w:color w:val="auto"/>
              </w:rPr>
              <w:t>Debentures due June 15, 2027 (incorporated by reference to Exhibit 4(a) to Registrant's Current Report on Form 8-K as filed with the Securities and</w:t>
            </w: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9340" w:type="dxa"/>
            <w:vAlign w:val="bottom"/>
            <w:gridSpan w:val="44"/>
          </w:tcPr>
          <w:p>
            <w:pPr>
              <w:spacing w:after="0"/>
              <w:rPr>
                <w:sz w:val="20"/>
                <w:szCs w:val="20"/>
                <w:color w:val="auto"/>
              </w:rPr>
            </w:pPr>
            <w:r>
              <w:rPr>
                <w:rFonts w:ascii="Times New Roman" w:cs="Times New Roman" w:eastAsia="Times New Roman" w:hAnsi="Times New Roman"/>
                <w:sz w:val="14"/>
                <w:szCs w:val="14"/>
                <w:color w:val="auto"/>
              </w:rPr>
              <w:t>Exchange Commission on June 27, 1997, Commission File No. 1-8649). (Filed on paper - hyperlink not required pursuant to Rule 105 of Regulation S-T)</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4.7</w:t>
            </w:r>
          </w:p>
        </w:tc>
        <w:tc>
          <w:tcPr>
            <w:tcW w:w="9340" w:type="dxa"/>
            <w:vAlign w:val="bottom"/>
            <w:gridSpan w:val="44"/>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Indenture dated as of April 20, 2007, between Registrant and The Bank of New York Trust Company, N.A., as Trustee, relating to The Toro Company’s</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40" w:type="dxa"/>
            <w:vAlign w:val="bottom"/>
            <w:tcBorders>
              <w:top w:val="single" w:sz="8" w:color="0000FF"/>
            </w:tcBorders>
            <w:gridSpan w:val="34"/>
          </w:tcPr>
          <w:p>
            <w:pPr>
              <w:spacing w:after="0" w:line="115"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6.</w:t>
              </w:r>
              <w:r>
                <w:rPr>
                  <w:rFonts w:ascii="Times New Roman" w:cs="Times New Roman" w:eastAsia="Times New Roman" w:hAnsi="Times New Roman"/>
                  <w:sz w:val="13"/>
                  <w:szCs w:val="13"/>
                  <w:u w:val="single" w:color="auto"/>
                  <w:color w:val="0000FF"/>
                </w:rPr>
                <w:t>625%</w:t>
              </w:r>
              <w:r>
                <w:rPr>
                  <w:rFonts w:ascii="Times New Roman" w:cs="Times New Roman" w:eastAsia="Times New Roman" w:hAnsi="Times New Roman"/>
                  <w:sz w:val="13"/>
                  <w:szCs w:val="13"/>
                  <w:color w:val="0000FF"/>
                </w:rPr>
                <w:t xml:space="preserve"> Notes due May 1, 2037 (incorporated by reference to Exhibit 4.3 to Registrant’s Registration Statement on Form S-3 as filed with the Securities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906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and Exchange Commission on April 23, 2007, Registration No. 333-142282).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4.8</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First Supplemental Indenture dated as of April 26, 2007, between Registrant and The Bank of New York Trust Company, N.A., as Trustee, relating to The</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980" w:type="dxa"/>
            <w:vAlign w:val="bottom"/>
            <w:tcBorders>
              <w:top w:val="single" w:sz="8" w:color="0000FF"/>
            </w:tcBorders>
            <w:gridSpan w:val="26"/>
          </w:tcPr>
          <w:p>
            <w:pPr>
              <w:spacing w:after="0" w:line="115"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Toro Company’s 6.625% Notes due May 1, 2037 (incorporated by reference to Exhibit 4.1 to Registrant’s Current Report on Form 8-K as filed with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892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Securities and Exchange Commission on April 26, 2007,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4.9</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Form of The Toro Company 6.625% Note due May 1, 2037 (incorporated by reference to Exhibit 4.2 to Registrant’s Current Report on Form 8-K as filed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900" w:type="dxa"/>
            <w:vAlign w:val="bottom"/>
            <w:tcBorders>
              <w:top w:val="single" w:sz="8" w:color="0000FF"/>
            </w:tcBorders>
            <w:gridSpan w:val="22"/>
          </w:tcPr>
          <w:p>
            <w:pPr>
              <w:spacing w:after="0" w:line="115"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with the Securities and Exchange Commission on April 26, 2007, Commission File No. 1-8649).</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The Toro Company 2022 Equity and Incentive Plan (incorporated by reference to Exhibit 10.1 to Registrant’s Current Report on Form 8-K as filed with</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860" w:type="dxa"/>
            <w:vAlign w:val="bottom"/>
            <w:tcBorders>
              <w:top w:val="single" w:sz="8" w:color="0000FF"/>
            </w:tcBorders>
            <w:gridSpan w:val="20"/>
          </w:tcPr>
          <w:p>
            <w:pPr>
              <w:spacing w:after="0" w:line="115"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the Securities and Exchange Commission on March 16, 2022,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The Toro Company Amended and Restated 2010 Equity and Incentive Plan, as amended and restated (incorporated by reference to Exhibit 10.1 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60" w:type="dxa"/>
            <w:vAlign w:val="bottom"/>
            <w:tcBorders>
              <w:top w:val="single" w:sz="8" w:color="0000FF"/>
            </w:tcBorders>
            <w:gridSpan w:val="35"/>
          </w:tcPr>
          <w:p>
            <w:pPr>
              <w:spacing w:after="0" w:line="115"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Registrant’s Annual Report on Form 10-K for the fiscal year ended October 31, 2016,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10.3</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Amendment No. 1 to The Toro Company Amended and Restated 2010 Equity and Incentive Plan, as Amended and Restated, dated as of December 3,</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080" w:type="dxa"/>
            <w:vAlign w:val="bottom"/>
            <w:tcBorders>
              <w:top w:val="single" w:sz="8" w:color="0000FF"/>
            </w:tcBorders>
            <w:gridSpan w:val="31"/>
          </w:tcPr>
          <w:p>
            <w:pPr>
              <w:spacing w:after="0" w:line="115"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2019 (incorporated by reference to Exhibit 10.2 to Registrant's Annual Report on Form 10-K for the fiscal year ended October 31, 2019, Commission File</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9220" w:type="dxa"/>
            <w:vAlign w:val="bottom"/>
            <w:tcBorders>
              <w:top w:val="single" w:sz="8" w:color="0000FF"/>
            </w:tcBorders>
            <w:gridSpan w:val="38"/>
          </w:tcPr>
          <w:p>
            <w:pPr>
              <w:spacing w:after="0" w:line="129"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No. 1-8649)</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10.4</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The Toro Company Supplemental Benefit Plan, Amended and Restated Effective January 1, 2017 (incorporated by reference to Exhibit 10.8 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60" w:type="dxa"/>
            <w:vAlign w:val="bottom"/>
            <w:tcBorders>
              <w:top w:val="single" w:sz="8" w:color="0000FF"/>
            </w:tcBorders>
            <w:gridSpan w:val="40"/>
          </w:tcPr>
          <w:p>
            <w:pPr>
              <w:spacing w:after="0" w:line="115"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Registrant's Quarterly Report on Form 10-Q for the fiscal quarter ended February 3, 2017, Commission File No. 1-8649).</w:t>
              </w:r>
              <w:r>
                <w:rPr>
                  <w:rFonts w:ascii="Times New Roman" w:cs="Times New Roman" w:eastAsia="Times New Roman" w:hAnsi="Times New Roman"/>
                  <w:sz w:val="13"/>
                  <w:szCs w:val="13"/>
                  <w:color w:val="000000"/>
                </w:rPr>
                <w:t>*</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10.5</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100" w:type="dxa"/>
            <w:vAlign w:val="bottom"/>
            <w:gridSpan w:val="7"/>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44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The Toro Company Deferred Compensation Plan, Amended and Restated Effective January 1, 2017 (incorporated by reference to Exhibit 10.9 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060" w:type="dxa"/>
            <w:vAlign w:val="bottom"/>
            <w:tcBorders>
              <w:top w:val="single" w:sz="8" w:color="0000FF"/>
            </w:tcBorders>
            <w:gridSpan w:val="30"/>
          </w:tcPr>
          <w:p>
            <w:pPr>
              <w:spacing w:after="0" w:line="115"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Registrant's Quarterly Report on Form 10-Q for the fiscal quarter ended February 3, 2017, Commission File No. 1-8649).</w:t>
              </w:r>
              <w:r>
                <w:rPr>
                  <w:rFonts w:ascii="Times New Roman" w:cs="Times New Roman" w:eastAsia="Times New Roman" w:hAnsi="Times New Roman"/>
                  <w:sz w:val="13"/>
                  <w:szCs w:val="13"/>
                  <w:color w:val="000000"/>
                </w:rPr>
                <w:t>*</w:t>
              </w:r>
            </w:hyperlink>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10.6</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100" w:type="dxa"/>
            <w:vAlign w:val="bottom"/>
            <w:gridSpan w:val="7"/>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44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The Toro Company Deferred Compensation Plan for Officers, Amended and Restated Effective January 1, 2017 (incorporated by reference 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00" w:type="dxa"/>
            <w:vAlign w:val="bottom"/>
            <w:tcBorders>
              <w:top w:val="single" w:sz="8" w:color="0000FF"/>
            </w:tcBorders>
            <w:gridSpan w:val="32"/>
          </w:tcPr>
          <w:p>
            <w:pPr>
              <w:spacing w:after="0" w:line="115"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Exhibit 10.10 to Registrant's Quarterly Report on Form 10-Q for the fiscal quarter ended February 3, 2017, Commission File No. 1-8649).</w:t>
              </w:r>
              <w:r>
                <w:rPr>
                  <w:rFonts w:ascii="Times New Roman" w:cs="Times New Roman" w:eastAsia="Times New Roman" w:hAnsi="Times New Roman"/>
                  <w:sz w:val="13"/>
                  <w:szCs w:val="13"/>
                  <w:color w:val="000000"/>
                </w:rPr>
                <w:t>*</w:t>
              </w:r>
            </w:hyperlink>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10.7</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100" w:type="dxa"/>
            <w:vAlign w:val="bottom"/>
            <w:gridSpan w:val="7"/>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2420" w:type="dxa"/>
            <w:vAlign w:val="bottom"/>
            <w:tcBorders>
              <w:left w:val="single" w:sz="8" w:color="0000FF"/>
            </w:tcBorders>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The Toro Company Deferred Compensation Plan for Non-Employee Directors, Amended and Restated Effective January 1, 2017 (incorporated by</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320" w:type="dxa"/>
            <w:vAlign w:val="bottom"/>
            <w:tcBorders>
              <w:top w:val="single" w:sz="8" w:color="0000FF"/>
            </w:tcBorders>
            <w:gridSpan w:val="43"/>
          </w:tcPr>
          <w:p>
            <w:pPr>
              <w:spacing w:after="0" w:line="115"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reference to Exhibit 10.11 to Registrant's Quarterly Report on Form 10-Q for the fiscal quarter ended February 3, 2017,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10.8</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100" w:type="dxa"/>
            <w:vAlign w:val="bottom"/>
            <w:gridSpan w:val="7"/>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12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Form of Nonqualified Stock Option Agreement for use with The Toro Company 2022 Equity and Incentive Plan (incorporated by reference to Exhibit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80" w:type="dxa"/>
            <w:vAlign w:val="bottom"/>
            <w:tcBorders>
              <w:top w:val="single" w:sz="8" w:color="0000FF"/>
            </w:tcBorders>
            <w:gridSpan w:val="36"/>
          </w:tcPr>
          <w:p>
            <w:pPr>
              <w:spacing w:after="0" w:line="115"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r>
                <w:rPr>
                  <w:rFonts w:ascii="Times New Roman" w:cs="Times New Roman" w:eastAsia="Times New Roman" w:hAnsi="Times New Roman"/>
                  <w:sz w:val="13"/>
                  <w:szCs w:val="13"/>
                  <w:color w:val="0000FF"/>
                </w:rPr>
                <w:t xml:space="preserve"> to Registrant’s Current Report on Form 8-K as filed with the Securities and Exchange Commission on March 16, 2022, Commission File No. 1-</w:t>
              </w:r>
            </w:hyperlink>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480" w:type="dxa"/>
            <w:vAlign w:val="bottom"/>
            <w:tcBorders>
              <w:top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8649).</w:t>
              </w:r>
              <w:r>
                <w:rPr>
                  <w:rFonts w:ascii="Times New Roman" w:cs="Times New Roman" w:eastAsia="Times New Roman" w:hAnsi="Times New Roman"/>
                  <w:sz w:val="14"/>
                  <w:szCs w:val="14"/>
                  <w:color w:val="000000"/>
                </w:rPr>
                <w:t>*</w:t>
              </w:r>
            </w:hyperlink>
          </w:p>
        </w:tc>
        <w:tc>
          <w:tcPr>
            <w:tcW w:w="220" w:type="dxa"/>
            <w:vAlign w:val="bottom"/>
            <w:tcBorders>
              <w:top w:val="single" w:sz="8" w:color="0000FF"/>
            </w:tcBorders>
          </w:tcPr>
          <w:p>
            <w:pPr>
              <w:spacing w:after="0"/>
              <w:rPr>
                <w:sz w:val="11"/>
                <w:szCs w:val="11"/>
                <w:color w:val="auto"/>
              </w:rPr>
            </w:pPr>
          </w:p>
        </w:tc>
        <w:tc>
          <w:tcPr>
            <w:tcW w:w="28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10.9</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Form of Nonemployee Director Stock Option Agreement for use with The Toro Company 2022 Equity and Incentive Plan (incorporated by reference 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020" w:type="dxa"/>
            <w:vAlign w:val="bottom"/>
            <w:tcBorders>
              <w:top w:val="single" w:sz="8" w:color="0000FF"/>
            </w:tcBorders>
            <w:gridSpan w:val="28"/>
          </w:tcPr>
          <w:p>
            <w:pPr>
              <w:spacing w:after="0" w:line="115"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Exhibit 10.3 to Registrant’s Current Report on Form 8-K as filed with the Securities and Exchange Commission on March 16, 2022, Commission File No.</w:t>
              </w:r>
            </w:hyperlink>
          </w:p>
        </w:tc>
        <w:tc>
          <w:tcPr>
            <w:tcW w:w="160" w:type="dxa"/>
            <w:vAlign w:val="bottom"/>
            <w:gridSpan w:val="8"/>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700" w:type="dxa"/>
            <w:vAlign w:val="bottom"/>
            <w:tcBorders>
              <w:top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1-8649).</w:t>
              </w:r>
              <w:r>
                <w:rPr>
                  <w:rFonts w:ascii="Times New Roman" w:cs="Times New Roman" w:eastAsia="Times New Roman" w:hAnsi="Times New Roman"/>
                  <w:sz w:val="14"/>
                  <w:szCs w:val="14"/>
                  <w:color w:val="000000"/>
                </w:rPr>
                <w:t>*</w:t>
              </w:r>
            </w:hyperlink>
          </w:p>
        </w:tc>
        <w:tc>
          <w:tcPr>
            <w:tcW w:w="28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10.10</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Form of Restricted Stock Unit Award Agreement for use with The Toro Company 2022 Equity and Incentive Plan (incorporated by reference to Exhibit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80" w:type="dxa"/>
            <w:vAlign w:val="bottom"/>
            <w:tcBorders>
              <w:top w:val="single" w:sz="8" w:color="0000FF"/>
            </w:tcBorders>
            <w:gridSpan w:val="36"/>
          </w:tcPr>
          <w:p>
            <w:pPr>
              <w:spacing w:after="0" w:line="115"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4</w:t>
              </w:r>
              <w:r>
                <w:rPr>
                  <w:rFonts w:ascii="Times New Roman" w:cs="Times New Roman" w:eastAsia="Times New Roman" w:hAnsi="Times New Roman"/>
                  <w:sz w:val="13"/>
                  <w:szCs w:val="13"/>
                  <w:color w:val="0000FF"/>
                </w:rPr>
                <w:t xml:space="preserve"> to Registrant’s Current Report on Form 8-K as filed with the Securities and Exchange Commission on March 16, 2022, Commission File No. 1-</w:t>
              </w:r>
            </w:hyperlink>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480" w:type="dxa"/>
            <w:vAlign w:val="bottom"/>
            <w:tcBorders>
              <w:top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8649).</w:t>
              </w:r>
              <w:r>
                <w:rPr>
                  <w:rFonts w:ascii="Times New Roman" w:cs="Times New Roman" w:eastAsia="Times New Roman" w:hAnsi="Times New Roman"/>
                  <w:sz w:val="14"/>
                  <w:szCs w:val="14"/>
                  <w:color w:val="000000"/>
                </w:rPr>
                <w:t>*</w:t>
              </w:r>
            </w:hyperlink>
          </w:p>
        </w:tc>
        <w:tc>
          <w:tcPr>
            <w:tcW w:w="220" w:type="dxa"/>
            <w:vAlign w:val="bottom"/>
            <w:tcBorders>
              <w:top w:val="single" w:sz="8" w:color="0000FF"/>
            </w:tcBorders>
          </w:tcPr>
          <w:p>
            <w:pPr>
              <w:spacing w:after="0"/>
              <w:rPr>
                <w:sz w:val="11"/>
                <w:szCs w:val="11"/>
                <w:color w:val="auto"/>
              </w:rPr>
            </w:pPr>
          </w:p>
        </w:tc>
        <w:tc>
          <w:tcPr>
            <w:tcW w:w="28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10.11</w:t>
            </w:r>
          </w:p>
        </w:tc>
        <w:tc>
          <w:tcPr>
            <w:tcW w:w="360" w:type="dxa"/>
            <w:vAlign w:val="bottom"/>
            <w:shd w:val="clear" w:color="auto" w:fill="0000FF"/>
          </w:tcPr>
          <w:p>
            <w:pPr>
              <w:spacing w:after="0" w:line="20" w:lineRule="exact"/>
              <w:rPr>
                <w:sz w:val="1"/>
                <w:szCs w:val="1"/>
                <w:color w:val="auto"/>
              </w:rPr>
            </w:pPr>
          </w:p>
        </w:tc>
        <w:tc>
          <w:tcPr>
            <w:tcW w:w="4220" w:type="dxa"/>
            <w:vAlign w:val="bottom"/>
            <w:tcBorders>
              <w:left w:val="single" w:sz="8" w:color="0000FF"/>
            </w:tcBorders>
            <w:gridSpan w:val="8"/>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Form of Performance Share Award Agreement for use with The Toro Company 2022 Equity and Incentive Plan (incorporated by reference to Exhibit 10.5</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20" w:type="dxa"/>
            <w:vAlign w:val="bottom"/>
            <w:tcBorders>
              <w:top w:val="single" w:sz="8" w:color="0000FF"/>
            </w:tcBorders>
            <w:gridSpan w:val="33"/>
          </w:tcPr>
          <w:p>
            <w:pPr>
              <w:spacing w:after="0" w:line="115"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to Registrant’s Current Report on Form 8-K as filed with the Securities and Exchange Commission on March 16, 2022, Commission File No. 1-8649).</w:t>
              </w:r>
              <w:r>
                <w:rPr>
                  <w:rFonts w:ascii="Times New Roman" w:cs="Times New Roman" w:eastAsia="Times New Roman" w:hAnsi="Times New Roman"/>
                  <w:sz w:val="13"/>
                  <w:szCs w:val="13"/>
                  <w:color w:val="000000"/>
                </w:rPr>
                <w:t>*</w:t>
              </w:r>
            </w:hyperlink>
          </w:p>
        </w:tc>
        <w:tc>
          <w:tcPr>
            <w:tcW w:w="120" w:type="dxa"/>
            <w:vAlign w:val="bottom"/>
            <w:gridSpan w:val="6"/>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10.12</w:t>
            </w:r>
          </w:p>
        </w:tc>
        <w:tc>
          <w:tcPr>
            <w:tcW w:w="360" w:type="dxa"/>
            <w:vAlign w:val="bottom"/>
            <w:shd w:val="clear" w:color="auto" w:fill="0000FF"/>
          </w:tcPr>
          <w:p>
            <w:pPr>
              <w:spacing w:after="0" w:line="20" w:lineRule="exact"/>
              <w:rPr>
                <w:sz w:val="1"/>
                <w:szCs w:val="1"/>
                <w:color w:val="auto"/>
              </w:rPr>
            </w:pPr>
          </w:p>
        </w:tc>
        <w:tc>
          <w:tcPr>
            <w:tcW w:w="4220" w:type="dxa"/>
            <w:vAlign w:val="bottom"/>
            <w:tcBorders>
              <w:left w:val="single" w:sz="8" w:color="0000FF"/>
            </w:tcBorders>
            <w:gridSpan w:val="8"/>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12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Form of Annual Performance Award Agreement for use with The Toro Company 2022 Equity and Incentive Plan (incorporated by reference to Exhibit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040" w:type="dxa"/>
            <w:vAlign w:val="bottom"/>
            <w:tcBorders>
              <w:top w:val="single" w:sz="8" w:color="0000FF"/>
            </w:tcBorders>
            <w:gridSpan w:val="29"/>
          </w:tcPr>
          <w:p>
            <w:pPr>
              <w:spacing w:after="0" w:line="115"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6</w:t>
              </w:r>
              <w:r>
                <w:rPr>
                  <w:rFonts w:ascii="Times New Roman" w:cs="Times New Roman" w:eastAsia="Times New Roman" w:hAnsi="Times New Roman"/>
                  <w:sz w:val="13"/>
                  <w:szCs w:val="13"/>
                  <w:color w:val="0000FF"/>
                </w:rPr>
                <w:t xml:space="preserve"> to Registrant’s Current Report on Form 8-K as filed with the Securities and Exchange Commission on March 16, 2022, Commission File No. 1-</w:t>
              </w:r>
            </w:hyperlink>
          </w:p>
        </w:tc>
        <w:tc>
          <w:tcPr>
            <w:tcW w:w="200" w:type="dxa"/>
            <w:vAlign w:val="bottom"/>
            <w:gridSpan w:val="10"/>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480" w:type="dxa"/>
            <w:vAlign w:val="bottom"/>
            <w:tcBorders>
              <w:top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8649).</w:t>
              </w:r>
              <w:r>
                <w:rPr>
                  <w:rFonts w:ascii="Times New Roman" w:cs="Times New Roman" w:eastAsia="Times New Roman" w:hAnsi="Times New Roman"/>
                  <w:sz w:val="14"/>
                  <w:szCs w:val="14"/>
                  <w:color w:val="000000"/>
                </w:rPr>
                <w:t>*</w:t>
              </w:r>
            </w:hyperlink>
          </w:p>
        </w:tc>
        <w:tc>
          <w:tcPr>
            <w:tcW w:w="220" w:type="dxa"/>
            <w:vAlign w:val="bottom"/>
            <w:tcBorders>
              <w:top w:val="single" w:sz="8" w:color="0000FF"/>
            </w:tcBorders>
          </w:tcPr>
          <w:p>
            <w:pPr>
              <w:spacing w:after="0"/>
              <w:rPr>
                <w:sz w:val="11"/>
                <w:szCs w:val="11"/>
                <w:color w:val="auto"/>
              </w:rPr>
            </w:pPr>
          </w:p>
        </w:tc>
        <w:tc>
          <w:tcPr>
            <w:tcW w:w="28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10.13</w:t>
            </w:r>
          </w:p>
        </w:tc>
        <w:tc>
          <w:tcPr>
            <w:tcW w:w="360" w:type="dxa"/>
            <w:vAlign w:val="bottom"/>
            <w:shd w:val="clear" w:color="auto" w:fill="0000FF"/>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Form of Nonemployee Director Stock Option Agreement between The Toro Company and its Non-Employee Directors under The Toro Company</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320" w:type="dxa"/>
            <w:vAlign w:val="bottom"/>
            <w:tcBorders>
              <w:top w:val="single" w:sz="8" w:color="0000FF"/>
            </w:tcBorders>
            <w:gridSpan w:val="43"/>
          </w:tcPr>
          <w:p>
            <w:pPr>
              <w:spacing w:after="0" w:line="115"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Amended and Restated 2010 Equity and Incentive Plan, as amended and restated (incorporated by reference to Exhibit 10.11 to Registrant’s Annual</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896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Report on Form 10-K for the fiscal year ended October 31, 2016, Commission File No. 1-8649).</w:t>
              </w:r>
              <w:r>
                <w:rPr>
                  <w:rFonts w:ascii="Times New Roman" w:cs="Times New Roman" w:eastAsia="Times New Roman" w:hAnsi="Times New Roman"/>
                  <w:sz w:val="14"/>
                  <w:szCs w:val="14"/>
                  <w:color w:val="000000"/>
                </w:rPr>
                <w:t>*</w:t>
              </w:r>
            </w:hyperlink>
          </w:p>
        </w:tc>
        <w:tc>
          <w:tcPr>
            <w:tcW w:w="40" w:type="dxa"/>
            <w:vAlign w:val="bottom"/>
            <w:gridSpan w:val="2"/>
          </w:tcPr>
          <w:p>
            <w:pPr>
              <w:spacing w:after="0"/>
              <w:rPr>
                <w:sz w:val="11"/>
                <w:szCs w:val="11"/>
                <w:color w:val="auto"/>
              </w:rPr>
            </w:pPr>
          </w:p>
        </w:tc>
        <w:tc>
          <w:tcPr>
            <w:tcW w:w="240" w:type="dxa"/>
            <w:vAlign w:val="bottom"/>
            <w:gridSpan w:val="12"/>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10.14</w:t>
            </w:r>
          </w:p>
        </w:tc>
        <w:tc>
          <w:tcPr>
            <w:tcW w:w="4580" w:type="dxa"/>
            <w:vAlign w:val="bottom"/>
            <w:gridSpan w:val="9"/>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4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Form of Nonqualified Stock Option Agreement between The Toro Company and its officers and other employees under The Toro Company Amended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940" w:type="dxa"/>
            <w:vAlign w:val="bottom"/>
            <w:tcBorders>
              <w:top w:val="single" w:sz="8" w:color="0000FF"/>
              <w:bottom w:val="single" w:sz="8" w:color="0000FF"/>
            </w:tcBorders>
            <w:gridSpan w:val="24"/>
          </w:tcPr>
          <w:p>
            <w:pPr>
              <w:spacing w:after="0" w:line="115"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and Restated 2010 Equity and Incentive Plan, as amended and restated (incorporated by reference to Exhibit 10.14 to Registrant’s Annual Report on Form</w:t>
              </w:r>
            </w:hyperlink>
          </w:p>
        </w:tc>
        <w:tc>
          <w:tcPr>
            <w:tcW w:w="60" w:type="dxa"/>
            <w:vAlign w:val="bottom"/>
            <w:tcBorders>
              <w:bottom w:val="single" w:sz="8" w:color="0000FF"/>
            </w:tcBorders>
            <w:gridSpan w:val="3"/>
          </w:tcPr>
          <w:p>
            <w:pPr>
              <w:spacing w:after="0"/>
              <w:rPr>
                <w:sz w:val="10"/>
                <w:szCs w:val="10"/>
                <w:color w:val="auto"/>
              </w:rPr>
            </w:pPr>
          </w:p>
        </w:tc>
        <w:tc>
          <w:tcPr>
            <w:tcW w:w="240" w:type="dxa"/>
            <w:vAlign w:val="bottom"/>
            <w:gridSpan w:val="12"/>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9000" w:type="dxa"/>
            <w:vAlign w:val="bottom"/>
            <w:gridSpan w:val="27"/>
          </w:tcPr>
          <w:p>
            <w:pPr>
              <w:spacing w:after="0" w:line="12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10-K for the fiscal year ended October 31, 2016, Commission File No. 1-8649).</w:t>
              </w:r>
              <w:r>
                <w:rPr>
                  <w:rFonts w:ascii="Times New Roman" w:cs="Times New Roman" w:eastAsia="Times New Roman" w:hAnsi="Times New Roman"/>
                  <w:sz w:val="14"/>
                  <w:szCs w:val="14"/>
                  <w:color w:val="000000"/>
                </w:rPr>
                <w:t>*</w:t>
              </w:r>
            </w:hyperlink>
          </w:p>
        </w:tc>
        <w:tc>
          <w:tcPr>
            <w:tcW w:w="240" w:type="dxa"/>
            <w:vAlign w:val="bottom"/>
            <w:gridSpan w:val="12"/>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10.15</w:t>
            </w:r>
          </w:p>
        </w:tc>
        <w:tc>
          <w:tcPr>
            <w:tcW w:w="4580" w:type="dxa"/>
            <w:vAlign w:val="bottom"/>
            <w:gridSpan w:val="9"/>
            <w:shd w:val="clear" w:color="auto" w:fill="0000FF"/>
          </w:tcPr>
          <w:p>
            <w:pPr>
              <w:spacing w:after="0" w:line="20" w:lineRule="exact"/>
              <w:rPr>
                <w:sz w:val="1"/>
                <w:szCs w:val="1"/>
                <w:color w:val="auto"/>
              </w:rPr>
            </w:pPr>
          </w:p>
        </w:tc>
        <w:tc>
          <w:tcPr>
            <w:tcW w:w="4660" w:type="dxa"/>
            <w:vAlign w:val="bottom"/>
            <w:gridSpan w:val="3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40" w:type="dxa"/>
            <w:vAlign w:val="bottom"/>
            <w:gridSpan w:val="44"/>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Form of Performance Share Award Agreement between The Toro Company and its officers and other employees under The Toro Company Amended and</w:t>
              </w:r>
            </w:hyperlink>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240" w:type="dxa"/>
            <w:vAlign w:val="bottom"/>
            <w:tcBorders>
              <w:top w:val="single" w:sz="8" w:color="0000FF"/>
            </w:tcBorders>
            <w:gridSpan w:val="39"/>
          </w:tcPr>
          <w:p>
            <w:pPr>
              <w:spacing w:after="0" w:line="122" w:lineRule="exact"/>
              <w:rPr>
                <w:rFonts w:ascii="Times New Roman" w:cs="Times New Roman" w:eastAsia="Times New Roman" w:hAnsi="Times New Roman"/>
                <w:sz w:val="14"/>
                <w:szCs w:val="14"/>
                <w:u w:val="single" w:color="auto"/>
                <w:color w:val="0000FF"/>
              </w:rPr>
            </w:pPr>
            <w:hyperlink r:id="rId153">
              <w:r>
                <w:rPr>
                  <w:rFonts w:ascii="Times New Roman" w:cs="Times New Roman" w:eastAsia="Times New Roman" w:hAnsi="Times New Roman"/>
                  <w:sz w:val="14"/>
                  <w:szCs w:val="14"/>
                  <w:u w:val="single" w:color="auto"/>
                  <w:color w:val="0000FF"/>
                </w:rPr>
                <w:t>Restated 2010 Equity and Incentive Plan, as amended and restated (incorporated by reference to Exhibit 10.17 to Registrant’s Annual Report on Form 10-</w:t>
              </w:r>
            </w:hyperlink>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bl>
    <w:p>
      <w:pPr>
        <w:ind w:left="2340"/>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u w:val="single" w:color="auto"/>
            <w:color w:val="0000FF"/>
          </w:rPr>
          <w:t>K for the fiscal year ended October 31, 2016, Commission File No. 1-8649).</w:t>
        </w:r>
        <w:r>
          <w:rPr>
            <w:rFonts w:ascii="Times New Roman" w:cs="Times New Roman" w:eastAsia="Times New Roman" w:hAnsi="Times New Roman"/>
            <w:sz w:val="14"/>
            <w:szCs w:val="14"/>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10.16</w:t>
            </w:r>
          </w:p>
        </w:tc>
        <w:tc>
          <w:tcPr>
            <w:tcW w:w="9540" w:type="dxa"/>
            <w:vAlign w:val="bottom"/>
            <w:gridSpan w:val="52"/>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Form of Annual Performance Award Agreement between The Toro Company and its officers and other employees under The Toro Company Amended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440" w:type="dxa"/>
            <w:vAlign w:val="bottom"/>
            <w:tcBorders>
              <w:top w:val="single" w:sz="8" w:color="0000FF"/>
            </w:tcBorders>
            <w:gridSpan w:val="47"/>
          </w:tcPr>
          <w:p>
            <w:pPr>
              <w:spacing w:after="0" w:line="115"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and Restated 2010 Equity and Incentive Plan, as amended and restated (incorporated by reference to Exhibit 10.18 to Registrant’s Annual Report on Form</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910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10-K for the fiscal year ended October 31, 2016, Commission File No. 1-8649).</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10.17</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540" w:type="dxa"/>
            <w:vAlign w:val="bottom"/>
            <w:gridSpan w:val="52"/>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Form of Restricted Stock Award Agreement between The Toro Company and its officers and other employees under The Toro Company Amended and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40" w:type="dxa"/>
            <w:vAlign w:val="bottom"/>
            <w:tcBorders>
              <w:top w:val="single" w:sz="8" w:color="0000FF"/>
            </w:tcBorders>
            <w:gridSpan w:val="37"/>
          </w:tcPr>
          <w:p>
            <w:pPr>
              <w:spacing w:after="0" w:line="115"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Restated 2010 Equity and Incentive Plan, as amended and restated (incorporated by reference to Exhibit 10.19 to Registrant’s Annual Report on Form 10-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886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K for the fiscal year ended October 31, 2016, Commission File No. 1-8649).</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10.18</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540" w:type="dxa"/>
            <w:vAlign w:val="bottom"/>
            <w:gridSpan w:val="52"/>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Form of Restricted Stock Unit Award Agreement between The Toro Company and its officers and other employees under The Toro Company Amended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000" w:type="dxa"/>
            <w:vAlign w:val="bottom"/>
            <w:tcBorders>
              <w:top w:val="single" w:sz="8" w:color="0000FF"/>
            </w:tcBorders>
            <w:gridSpan w:val="25"/>
          </w:tcPr>
          <w:p>
            <w:pPr>
              <w:spacing w:after="0" w:line="115"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and Restated 2010 Equity and Incentive Plan, as amended and restated (incorporated by reference to Exhibit 10.21 to Registrant’s Annual Report on Form</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910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10-K for the fiscal year ended October 31, 2016, Commission File No. 1-8649).</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10.19</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540" w:type="dxa"/>
            <w:vAlign w:val="bottom"/>
            <w:gridSpan w:val="52"/>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Form of Indemnification Agreement with the members of the Board of Directors (incorporated by reference to Exhibit 10(u) to Registrant's Annual</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360" w:type="dxa"/>
            <w:vAlign w:val="bottom"/>
            <w:tcBorders>
              <w:top w:val="single" w:sz="8" w:color="0000FF"/>
            </w:tcBorders>
            <w:gridSpan w:val="43"/>
          </w:tcPr>
          <w:p>
            <w:pPr>
              <w:spacing w:after="0" w:line="115"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Report on Form 10-K for the fiscal year ended October 31, 2006,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10.20</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540" w:type="dxa"/>
            <w:vAlign w:val="bottom"/>
            <w:gridSpan w:val="52"/>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The Toro Company Change in Control Severance Compensation Policy and attached Form of Release (incorporated by reference to Exhibit 10.1 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020" w:type="dxa"/>
            <w:vAlign w:val="bottom"/>
            <w:tcBorders>
              <w:top w:val="single" w:sz="8" w:color="0000FF"/>
            </w:tcBorders>
            <w:gridSpan w:val="26"/>
          </w:tcPr>
          <w:p>
            <w:pPr>
              <w:spacing w:after="0" w:line="115"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Registrant's Current Report on Form 8-K as filed with the Securities and Exchange Commission on January 21, 2011,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10.21</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540" w:type="dxa"/>
            <w:vAlign w:val="bottom"/>
            <w:gridSpan w:val="52"/>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Offer Letter dated August 18, 2015 between The Toro Company and Richard M. Olson (incorporated by reference to Exhibit 10.1 to Registrant's Current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520" w:type="dxa"/>
            <w:vAlign w:val="bottom"/>
            <w:tcBorders>
              <w:top w:val="single" w:sz="8" w:color="0000FF"/>
            </w:tcBorders>
            <w:gridSpan w:val="51"/>
          </w:tcPr>
          <w:p>
            <w:pPr>
              <w:spacing w:after="0" w:line="115"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Report on Form 8-K as filed with the Securities and Exchange Commission on August 19, 2015,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10.22</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540" w:type="dxa"/>
            <w:vAlign w:val="bottom"/>
            <w:gridSpan w:val="52"/>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Offer Letter dated July 19, 2016 between The Toro Company and Richard M. Olson (incorporated by reference to Exhibit 10.1 to Registrant's Current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500" w:type="dxa"/>
            <w:vAlign w:val="bottom"/>
            <w:tcBorders>
              <w:top w:val="single" w:sz="8" w:color="0000FF"/>
            </w:tcBorders>
            <w:gridSpan w:val="50"/>
          </w:tcPr>
          <w:p>
            <w:pPr>
              <w:spacing w:after="0" w:line="115"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Report on Form 8-K as filed with the Securities and Exchange Commission on July 19, 2016, Commission File No. 1-8649).</w:t>
              </w:r>
              <w:r>
                <w:rPr>
                  <w:rFonts w:ascii="Times New Roman" w:cs="Times New Roman" w:eastAsia="Times New Roman" w:hAnsi="Times New Roman"/>
                  <w:sz w:val="13"/>
                  <w:szCs w:val="13"/>
                  <w:color w:val="000000"/>
                </w:rPr>
                <w:t>*</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10.23</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540" w:type="dxa"/>
            <w:vAlign w:val="bottom"/>
            <w:gridSpan w:val="52"/>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Offer Letter dated February 13, 2023 between The Toro Company and Angela C. Drake (incorporated by reference to Exhibit 10.1 to Registrant’s Current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480" w:type="dxa"/>
            <w:vAlign w:val="bottom"/>
            <w:tcBorders>
              <w:top w:val="single" w:sz="8" w:color="0000FF"/>
            </w:tcBorders>
            <w:gridSpan w:val="49"/>
          </w:tcPr>
          <w:p>
            <w:pPr>
              <w:spacing w:after="0" w:line="115"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Report on Form 8-K as filed with the Securities and Exchange Commission on February 14, 2023, Commission File No. 1-8649).</w:t>
              </w:r>
              <w:r>
                <w:rPr>
                  <w:rFonts w:ascii="Times New Roman" w:cs="Times New Roman" w:eastAsia="Times New Roman" w:hAnsi="Times New Roman"/>
                  <w:sz w:val="13"/>
                  <w:szCs w:val="13"/>
                  <w:color w:val="000000"/>
                </w:rPr>
                <w:t>*</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10.24</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540" w:type="dxa"/>
            <w:vAlign w:val="bottom"/>
            <w:gridSpan w:val="52"/>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Second Amended and Restated Credit Agreement dated as of October 2, 2024, by and among The Toro Company, Toro Luxembourg S.A.R.L., and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00" w:type="dxa"/>
            <w:vAlign w:val="bottom"/>
            <w:tcBorders>
              <w:top w:val="single" w:sz="8" w:color="0000FF"/>
            </w:tcBorders>
            <w:gridSpan w:val="35"/>
          </w:tcPr>
          <w:p>
            <w:pPr>
              <w:spacing w:after="0" w:line="115"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Certain Other Subsidiaries, as Borrowers, Bank of America, N.A., as Administrative Agent, Swing Line Lender and L/C Issuer, U.S. Bank National</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9080" w:type="dxa"/>
            <w:vAlign w:val="bottom"/>
            <w:tcBorders>
              <w:top w:val="single" w:sz="8" w:color="0000FF"/>
              <w:bottom w:val="single" w:sz="8" w:color="0000FF"/>
            </w:tcBorders>
            <w:gridSpan w:val="29"/>
          </w:tcPr>
          <w:p>
            <w:pPr>
              <w:spacing w:after="0" w:line="129"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Association and Wells Fargo Bank, National Association, as Co-Syndication Agents, and BMO Bank, N.A., HSBC Bank USA, National Association, and</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9320" w:type="dxa"/>
            <w:vAlign w:val="bottom"/>
            <w:gridSpan w:val="41"/>
          </w:tcPr>
          <w:p>
            <w:pPr>
              <w:spacing w:after="0" w:line="129"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PNC Bank, National Association, as Co-Documentation Agents, and The Other Lenders Party Thereto (incorporated by reference to Exhibit 10.1 to</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300" w:type="dxa"/>
            <w:vAlign w:val="bottom"/>
            <w:tcBorders>
              <w:top w:val="single" w:sz="8" w:color="0000FF"/>
            </w:tcBorders>
            <w:gridSpan w:val="40"/>
          </w:tcPr>
          <w:p>
            <w:pPr>
              <w:spacing w:after="0" w:line="115"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Registrant’s Current Report on Form 8-K as filed with the Securities and Exchange Commission on October 3, 2024, Commission File No. 1-8649).</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10.25</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540" w:type="dxa"/>
            <w:vAlign w:val="bottom"/>
            <w:gridSpan w:val="52"/>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Term Loan Credit Agreement dated as of April 27, 2022, by and among The Toro Company, as Borrower, Bank of America, N.A., as Administrative</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60" w:type="dxa"/>
            <w:vAlign w:val="bottom"/>
            <w:tcBorders>
              <w:top w:val="single" w:sz="8" w:color="0000FF"/>
              <w:bottom w:val="single" w:sz="8" w:color="0000FF"/>
            </w:tcBorders>
            <w:gridSpan w:val="38"/>
          </w:tcPr>
          <w:p>
            <w:pPr>
              <w:spacing w:after="0" w:line="115"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Agent, Wells Fargo Bank, National Association and U.S. Bank National Association, as Co-Syndication Agents and the Other Lenders Party Thereto</w:t>
              </w:r>
            </w:hyperlink>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9460" w:type="dxa"/>
            <w:vAlign w:val="bottom"/>
            <w:gridSpan w:val="48"/>
          </w:tcPr>
          <w:p>
            <w:pPr>
              <w:spacing w:after="0" w:line="129"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(incorporated by reference to Exhibit 10.1 to Registrant’s Current Report on Form 8-K as filed with the Securities and Exchange Commission on April</w:t>
              </w:r>
            </w:hyperlink>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234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28, 2022, Commission File No. 1-8649).</w:t>
              </w:r>
            </w:hyperlink>
          </w:p>
        </w:tc>
        <w:tc>
          <w:tcPr>
            <w:tcW w:w="6640" w:type="dxa"/>
            <w:vAlign w:val="bottom"/>
            <w:tcBorders>
              <w:top w:val="single" w:sz="8" w:color="0000FF"/>
            </w:tcBorders>
            <w:gridSpan w:val="21"/>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10.26</w:t>
            </w:r>
          </w:p>
        </w:tc>
        <w:tc>
          <w:tcPr>
            <w:tcW w:w="9540" w:type="dxa"/>
            <w:vAlign w:val="bottom"/>
            <w:gridSpan w:val="52"/>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Amendment No. 1 to Term Loan Credit Agreement dated as of September 22, 2023, by and among The Toro Company, each of the Lenders Party</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340" w:type="dxa"/>
            <w:vAlign w:val="bottom"/>
            <w:tcBorders>
              <w:top w:val="single" w:sz="8" w:color="0000FF"/>
            </w:tcBorders>
            <w:gridSpan w:val="42"/>
          </w:tcPr>
          <w:p>
            <w:pPr>
              <w:spacing w:after="0" w:line="115"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Thereto, and Bank of America, N.A., as Administrative Agent (incorporated by reference to Exhibit 10.29 to Registrant's Annual Report on Form 10-K</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426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for the fiscal year ended October 31, 2023, Commission File No. 1-8649).</w:t>
              </w:r>
            </w:hyperlink>
          </w:p>
        </w:tc>
        <w:tc>
          <w:tcPr>
            <w:tcW w:w="4860" w:type="dxa"/>
            <w:vAlign w:val="bottom"/>
            <w:tcBorders>
              <w:top w:val="single" w:sz="8" w:color="0000FF"/>
            </w:tcBorders>
            <w:gridSpan w:val="2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10.27</w:t>
            </w:r>
          </w:p>
        </w:tc>
        <w:tc>
          <w:tcPr>
            <w:tcW w:w="9540" w:type="dxa"/>
            <w:vAlign w:val="bottom"/>
            <w:gridSpan w:val="52"/>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Note Purchase Agreement, dated as of April 30, 2019, by and among The Toro Company and the Purchasers listed on the Purchaser Schedule Thereto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60" w:type="dxa"/>
            <w:vAlign w:val="bottom"/>
            <w:tcBorders>
              <w:top w:val="single" w:sz="8" w:color="0000FF"/>
              <w:bottom w:val="single" w:sz="8" w:color="0000FF"/>
            </w:tcBorders>
            <w:gridSpan w:val="33"/>
          </w:tcPr>
          <w:p>
            <w:pPr>
              <w:spacing w:after="0" w:line="115"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(incorporated by reference to Exhibit 10.1 to the Registrant’s Current Report on Form 8-K as filed with the Securities and Exchange Commission on April</w:t>
              </w:r>
            </w:hyperlink>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100" w:type="dxa"/>
            <w:vAlign w:val="bottom"/>
            <w:tcBorders>
              <w:bottom w:val="single" w:sz="8" w:color="0000FF"/>
            </w:tcBorders>
            <w:gridSpan w:val="5"/>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2340" w:type="dxa"/>
            <w:vAlign w:val="bottom"/>
            <w:tcBorders>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30, 2019, Commission File No. 1-8649).</w:t>
              </w:r>
            </w:hyperlink>
          </w:p>
        </w:tc>
        <w:tc>
          <w:tcPr>
            <w:tcW w:w="7080" w:type="dxa"/>
            <w:vAlign w:val="bottom"/>
            <w:gridSpan w:val="43"/>
          </w:tcPr>
          <w:p>
            <w:pPr>
              <w:spacing w:after="0"/>
              <w:rPr>
                <w:sz w:val="11"/>
                <w:szCs w:val="11"/>
                <w:color w:val="auto"/>
              </w:rPr>
            </w:pPr>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10.28</w:t>
            </w:r>
          </w:p>
        </w:tc>
        <w:tc>
          <w:tcPr>
            <w:tcW w:w="9540" w:type="dxa"/>
            <w:vAlign w:val="bottom"/>
            <w:gridSpan w:val="52"/>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Second Amendment, dated as of June 30, 2022, to Note Purchase Agreement, dated as of April 30, 2019, by and among The Toro Company and each of</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060" w:type="dxa"/>
            <w:vAlign w:val="bottom"/>
            <w:tcBorders>
              <w:top w:val="single" w:sz="8" w:color="0000FF"/>
            </w:tcBorders>
            <w:gridSpan w:val="28"/>
          </w:tcPr>
          <w:p>
            <w:pPr>
              <w:spacing w:after="0" w:line="115"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the Institutions a Signatory Thereto (incorporated by reference to Exhibit 10.3 to Registrant’s Current Report on Form 8-K as filed with the Securities and</w:t>
              </w:r>
            </w:hyperlink>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418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Exchange Commission on June 30, 2022, Commission File No. 1-8649).</w:t>
              </w:r>
            </w:hyperlink>
          </w:p>
        </w:tc>
        <w:tc>
          <w:tcPr>
            <w:tcW w:w="470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10.29</w:t>
            </w:r>
          </w:p>
        </w:tc>
        <w:tc>
          <w:tcPr>
            <w:tcW w:w="9540" w:type="dxa"/>
            <w:vAlign w:val="bottom"/>
            <w:gridSpan w:val="52"/>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Note Purchase Agreement, dated as of June 30, 2022, by and among The Toro Company and the Purchasers Listed on the Purchaser Schedule Thereto and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480" w:type="dxa"/>
            <w:vAlign w:val="bottom"/>
            <w:tcBorders>
              <w:top w:val="single" w:sz="8" w:color="0000FF"/>
            </w:tcBorders>
            <w:gridSpan w:val="49"/>
          </w:tcPr>
          <w:p>
            <w:pPr>
              <w:spacing w:after="0" w:line="115"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Form of 3.97% Senior Note due June 30, 2032 (incorporated by reference to Exhibit 10.1 to Registrant’s Current Report on Form 8-K as filed with the</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9140" w:type="dxa"/>
            <w:vAlign w:val="bottom"/>
            <w:tcBorders>
              <w:top w:val="single" w:sz="8" w:color="0000FF"/>
            </w:tcBorders>
            <w:gridSpan w:val="32"/>
          </w:tcPr>
          <w:p>
            <w:pPr>
              <w:spacing w:after="0" w:line="129"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Securities and Exchange Commission on June 30, 2022, Commission File No. 1-8649).</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10.30 (1)</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540" w:type="dxa"/>
            <w:vAlign w:val="bottom"/>
            <w:gridSpan w:val="52"/>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Credit and Security Agreement dated as of August 12, 2009 by and between Red Iron Acceptance, LLC and TCF Inventory Finance, Inc. (incorporated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580" w:type="dxa"/>
            <w:vAlign w:val="bottom"/>
            <w:tcBorders>
              <w:top w:val="single" w:sz="8" w:color="0000FF"/>
              <w:bottom w:val="single" w:sz="8" w:color="0000FF"/>
            </w:tcBorders>
            <w:gridSpan w:val="17"/>
          </w:tcPr>
          <w:p>
            <w:pPr>
              <w:spacing w:after="0" w:line="115"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by reference to Exhibit 10.33 to Registrant's Annual Report on Form 10-K for the fiscal year ended October 31, 2023, Commission File No. 1-8649).</w:t>
              </w:r>
            </w:hyperlink>
          </w:p>
        </w:tc>
        <w:tc>
          <w:tcPr>
            <w:tcW w:w="800" w:type="dxa"/>
            <w:vAlign w:val="bottom"/>
            <w:tcBorders>
              <w:top w:val="single" w:sz="8" w:color="0000FF"/>
            </w:tcBorders>
            <w:gridSpan w:val="27"/>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10.31 (1)</w:t>
            </w:r>
          </w:p>
        </w:tc>
        <w:tc>
          <w:tcPr>
            <w:tcW w:w="9540" w:type="dxa"/>
            <w:vAlign w:val="bottom"/>
            <w:gridSpan w:val="52"/>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First Amendment to Credit and Security Agreement dated as of June 6, 2012 by and between Red Iron Acceptance, LLC and TCF Inventory Finance, Inc.</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80" w:type="dxa"/>
            <w:vAlign w:val="bottom"/>
            <w:tcBorders>
              <w:top w:val="single" w:sz="8" w:color="0000FF"/>
            </w:tcBorders>
            <w:gridSpan w:val="39"/>
          </w:tcPr>
          <w:p>
            <w:pPr>
              <w:spacing w:after="0" w:line="115"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(incorporated by reference to Exhibit 10.34 to Registrant's Annual Report on Form 10-K for the fiscal year ended October 31, 2023, Commission File No.</w:t>
              </w:r>
            </w:hyperlink>
          </w:p>
        </w:tc>
        <w:tc>
          <w:tcPr>
            <w:tcW w:w="120" w:type="dxa"/>
            <w:vAlign w:val="bottom"/>
            <w:gridSpan w:val="6"/>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48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6"/>
              </w:rPr>
            </w:pPr>
            <w:hyperlink r:id="rId170">
              <w:r>
                <w:rPr>
                  <w:rFonts w:ascii="Times New Roman" w:cs="Times New Roman" w:eastAsia="Times New Roman" w:hAnsi="Times New Roman"/>
                  <w:sz w:val="14"/>
                  <w:szCs w:val="14"/>
                  <w:color w:val="0000FF"/>
                  <w:w w:val="96"/>
                </w:rPr>
                <w:t>1-8649).</w:t>
              </w:r>
            </w:hyperlink>
          </w:p>
        </w:tc>
        <w:tc>
          <w:tcPr>
            <w:tcW w:w="128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0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10.32</w:t>
            </w:r>
          </w:p>
        </w:tc>
        <w:tc>
          <w:tcPr>
            <w:tcW w:w="9540" w:type="dxa"/>
            <w:vAlign w:val="bottom"/>
            <w:gridSpan w:val="52"/>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Second Amendment to Credit and Security Agreement dated as of November 29, 2016 by and between Red Iron Acceptance, LLC and TCF Inventory</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00" w:type="dxa"/>
            <w:vAlign w:val="bottom"/>
            <w:tcBorders>
              <w:top w:val="single" w:sz="8" w:color="0000FF"/>
            </w:tcBorders>
            <w:gridSpan w:val="30"/>
          </w:tcPr>
          <w:p>
            <w:pPr>
              <w:spacing w:after="0" w:line="115"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Finance, Inc. (incorporated by reference to Exhibit 10.1 to Registrant's Current Report on Form 8-K as filed with the Securities and Exchange</w:t>
              </w:r>
            </w:hyperlink>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80" w:type="dxa"/>
            <w:vAlign w:val="bottom"/>
            <w:gridSpan w:val="9"/>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384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Commission on December 2, 2016, Commission File No. 1-8649).</w:t>
              </w:r>
            </w:hyperlink>
          </w:p>
        </w:tc>
        <w:tc>
          <w:tcPr>
            <w:tcW w:w="506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140" w:type="dxa"/>
            <w:vAlign w:val="bottom"/>
            <w:gridSpan w:val="7"/>
          </w:tcPr>
          <w:p>
            <w:pPr>
              <w:spacing w:after="0"/>
              <w:rPr>
                <w:sz w:val="11"/>
                <w:szCs w:val="11"/>
                <w:color w:val="auto"/>
              </w:rPr>
            </w:pPr>
          </w:p>
        </w:tc>
        <w:tc>
          <w:tcPr>
            <w:tcW w:w="40" w:type="dxa"/>
            <w:vAlign w:val="bottom"/>
            <w:gridSpan w:val="2"/>
          </w:tcPr>
          <w:p>
            <w:pPr>
              <w:spacing w:after="0"/>
              <w:rPr>
                <w:sz w:val="11"/>
                <w:szCs w:val="11"/>
                <w:color w:val="auto"/>
              </w:rPr>
            </w:pPr>
          </w:p>
        </w:tc>
        <w:tc>
          <w:tcPr>
            <w:tcW w:w="180" w:type="dxa"/>
            <w:vAlign w:val="bottom"/>
            <w:gridSpan w:val="9"/>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10.33</w:t>
            </w:r>
          </w:p>
        </w:tc>
        <w:tc>
          <w:tcPr>
            <w:tcW w:w="9540" w:type="dxa"/>
            <w:vAlign w:val="bottom"/>
            <w:gridSpan w:val="52"/>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Third Amendment to Credit and Security Agreement effective as of December 20, 2019 by and between Red Iron Acceptance, LLC and TCF Inventory</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80" w:type="dxa"/>
            <w:vAlign w:val="bottom"/>
            <w:tcBorders>
              <w:top w:val="single" w:sz="8" w:color="0000FF"/>
            </w:tcBorders>
            <w:gridSpan w:val="34"/>
          </w:tcPr>
          <w:p>
            <w:pPr>
              <w:spacing w:after="0" w:line="115"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Finance, Inc. (incorporated by reference to Exhibit 10.1 to Registrant’s Quarterly Report on Form 10-Q for the fiscal quarter ended January 31, 2020,</w:t>
              </w:r>
            </w:hyperlink>
          </w:p>
        </w:tc>
        <w:tc>
          <w:tcPr>
            <w:tcW w:w="40" w:type="dxa"/>
            <w:vAlign w:val="bottom"/>
            <w:gridSpan w:val="2"/>
          </w:tcPr>
          <w:p>
            <w:pPr>
              <w:spacing w:after="0"/>
              <w:rPr>
                <w:sz w:val="10"/>
                <w:szCs w:val="10"/>
                <w:color w:val="auto"/>
              </w:rPr>
            </w:pPr>
          </w:p>
        </w:tc>
        <w:tc>
          <w:tcPr>
            <w:tcW w:w="180" w:type="dxa"/>
            <w:vAlign w:val="bottom"/>
            <w:gridSpan w:val="9"/>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176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Commission File No. 1-8649).</w:t>
              </w:r>
            </w:hyperlink>
          </w:p>
        </w:tc>
        <w:tc>
          <w:tcPr>
            <w:tcW w:w="7280" w:type="dxa"/>
            <w:vAlign w:val="bottom"/>
            <w:tcBorders>
              <w:top w:val="single" w:sz="8" w:color="0000FF"/>
            </w:tcBorders>
            <w:gridSpan w:val="25"/>
          </w:tcPr>
          <w:p>
            <w:pPr>
              <w:spacing w:after="0"/>
              <w:rPr>
                <w:sz w:val="11"/>
                <w:szCs w:val="11"/>
                <w:color w:val="auto"/>
              </w:rPr>
            </w:pPr>
          </w:p>
        </w:tc>
        <w:tc>
          <w:tcPr>
            <w:tcW w:w="180" w:type="dxa"/>
            <w:vAlign w:val="bottom"/>
            <w:gridSpan w:val="9"/>
          </w:tcPr>
          <w:p>
            <w:pPr>
              <w:spacing w:after="0"/>
              <w:rPr>
                <w:sz w:val="11"/>
                <w:szCs w:val="11"/>
                <w:color w:val="auto"/>
              </w:rPr>
            </w:pPr>
          </w:p>
        </w:tc>
        <w:tc>
          <w:tcPr>
            <w:tcW w:w="180" w:type="dxa"/>
            <w:vAlign w:val="bottom"/>
            <w:gridSpan w:val="9"/>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10.34</w:t>
            </w:r>
          </w:p>
        </w:tc>
        <w:tc>
          <w:tcPr>
            <w:tcW w:w="9540" w:type="dxa"/>
            <w:vAlign w:val="bottom"/>
            <w:gridSpan w:val="52"/>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Fourth Amendment to Credit and Security Agreement effective as of November 1, 2021 by and between Red Iron Acceptance, LLC and TCF Inventory</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480" w:type="dxa"/>
            <w:vAlign w:val="bottom"/>
            <w:tcBorders>
              <w:top w:val="single" w:sz="8" w:color="0000FF"/>
            </w:tcBorders>
            <w:gridSpan w:val="49"/>
          </w:tcPr>
          <w:p>
            <w:pPr>
              <w:spacing w:after="0" w:line="115"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Finance, Inc. (incorporated by reference to Exhibit 10.24 to Registrant's Annual Report on Form 10-K for the fiscal year ended October 31, 2021,</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176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Commission File No. 1-8649).</w:t>
              </w:r>
            </w:hyperlink>
          </w:p>
        </w:tc>
        <w:tc>
          <w:tcPr>
            <w:tcW w:w="7460" w:type="dxa"/>
            <w:vAlign w:val="bottom"/>
            <w:tcBorders>
              <w:top w:val="single" w:sz="8" w:color="0000FF"/>
            </w:tcBorders>
            <w:gridSpan w:val="34"/>
          </w:tcPr>
          <w:p>
            <w:pPr>
              <w:spacing w:after="0"/>
              <w:rPr>
                <w:sz w:val="11"/>
                <w:szCs w:val="11"/>
                <w:color w:val="auto"/>
              </w:rPr>
            </w:pPr>
          </w:p>
        </w:tc>
        <w:tc>
          <w:tcPr>
            <w:tcW w:w="180" w:type="dxa"/>
            <w:vAlign w:val="bottom"/>
            <w:gridSpan w:val="9"/>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10.35</w:t>
            </w:r>
          </w:p>
        </w:tc>
        <w:tc>
          <w:tcPr>
            <w:tcW w:w="9540" w:type="dxa"/>
            <w:vAlign w:val="bottom"/>
            <w:gridSpan w:val="52"/>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Fifth Amendment to Credit and Security Agreement effective as of October 25, 2022 by and between Red Iron Acceptance, LLC and Huntington</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400" w:type="dxa"/>
            <w:vAlign w:val="bottom"/>
            <w:tcBorders>
              <w:top w:val="single" w:sz="8" w:color="0000FF"/>
            </w:tcBorders>
            <w:gridSpan w:val="45"/>
          </w:tcPr>
          <w:p>
            <w:pPr>
              <w:spacing w:after="0" w:line="115"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Distribution Finance, Inc. (previously known as TCF Inventory Finance, Inc.) (incorporated by reference to Exhibit 10.35 to Registrant's Annual Report</w:t>
              </w:r>
            </w:hyperlink>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512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on Form 10-K for the fiscal year ended October 31, 2022, Commission File No. 1-8649).</w:t>
              </w:r>
            </w:hyperlink>
          </w:p>
        </w:tc>
        <w:tc>
          <w:tcPr>
            <w:tcW w:w="4340" w:type="dxa"/>
            <w:vAlign w:val="bottom"/>
            <w:tcBorders>
              <w:top w:val="single" w:sz="8" w:color="0000FF"/>
            </w:tcBorders>
            <w:gridSpan w:val="38"/>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10.36</w:t>
            </w:r>
          </w:p>
        </w:tc>
        <w:tc>
          <w:tcPr>
            <w:tcW w:w="9540" w:type="dxa"/>
            <w:vAlign w:val="bottom"/>
            <w:gridSpan w:val="52"/>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Sixth Amendment to Credit and Security Agreement effective as of August 31, 2023 by and between Red Iron Acceptance, LLC and Huntington</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920" w:type="dxa"/>
            <w:vAlign w:val="bottom"/>
            <w:tcBorders>
              <w:top w:val="single" w:sz="8" w:color="0000FF"/>
            </w:tcBorders>
            <w:gridSpan w:val="21"/>
          </w:tcPr>
          <w:p>
            <w:pPr>
              <w:spacing w:after="0" w:line="115" w:lineRule="exact"/>
              <w:rPr>
                <w:rFonts w:ascii="Times New Roman" w:cs="Times New Roman" w:eastAsia="Times New Roman" w:hAnsi="Times New Roman"/>
                <w:sz w:val="13"/>
                <w:szCs w:val="13"/>
                <w:color w:val="0000FF"/>
              </w:rPr>
            </w:pPr>
            <w:hyperlink r:id="rId175">
              <w:r>
                <w:rPr>
                  <w:rFonts w:ascii="Times New Roman" w:cs="Times New Roman" w:eastAsia="Times New Roman" w:hAnsi="Times New Roman"/>
                  <w:sz w:val="13"/>
                  <w:szCs w:val="13"/>
                  <w:color w:val="0000FF"/>
                </w:rPr>
                <w:t>Distribution Finance, Inc. (previously known as TCF Inventory Finance, Inc.) (incorporated by reference to Exhibit 10.39 to Registrant's Annual Report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9"/>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512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on Form 10-K for the fiscal year ended October 31, 2023, Commission File No. 1-8649).</w:t>
              </w:r>
            </w:hyperlink>
          </w:p>
        </w:tc>
        <w:tc>
          <w:tcPr>
            <w:tcW w:w="4340" w:type="dxa"/>
            <w:vAlign w:val="bottom"/>
            <w:tcBorders>
              <w:top w:val="single" w:sz="8" w:color="0000FF"/>
            </w:tcBorders>
            <w:gridSpan w:val="38"/>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10.37</w:t>
            </w:r>
          </w:p>
        </w:tc>
        <w:tc>
          <w:tcPr>
            <w:tcW w:w="9540" w:type="dxa"/>
            <w:vAlign w:val="bottom"/>
            <w:gridSpan w:val="52"/>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Note Purchase Agreement, dated as of September 30, 2025, by and among The Toro Company and the Purchasers Listed on the Purchaser Schedule</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940" w:type="dxa"/>
            <w:vAlign w:val="bottom"/>
            <w:tcBorders>
              <w:top w:val="single" w:sz="8" w:color="0000FF"/>
              <w:bottom w:val="single" w:sz="8" w:color="0000FF"/>
            </w:tcBorders>
            <w:gridSpan w:val="22"/>
          </w:tcPr>
          <w:p>
            <w:pPr>
              <w:spacing w:after="0" w:line="115" w:lineRule="exact"/>
              <w:rPr>
                <w:rFonts w:ascii="Times New Roman" w:cs="Times New Roman" w:eastAsia="Times New Roman" w:hAnsi="Times New Roman"/>
                <w:sz w:val="13"/>
                <w:szCs w:val="13"/>
                <w:color w:val="0000FF"/>
              </w:rPr>
            </w:pPr>
            <w:hyperlink r:id="rId176">
              <w:r>
                <w:rPr>
                  <w:rFonts w:ascii="Times New Roman" w:cs="Times New Roman" w:eastAsia="Times New Roman" w:hAnsi="Times New Roman"/>
                  <w:sz w:val="13"/>
                  <w:szCs w:val="13"/>
                  <w:color w:val="0000FF"/>
                </w:rPr>
                <w:t>Thereto and Form of 5.27% Senior Note due September 30, 2032 (incorporated by reference to Exhibit 10.1 to Registrant’s Current Report on Form 8-K</w:t>
              </w:r>
            </w:hyperlink>
          </w:p>
        </w:tc>
        <w:tc>
          <w:tcPr>
            <w:tcW w:w="20" w:type="dxa"/>
            <w:vAlign w:val="bottom"/>
            <w:tcBorders>
              <w:bottom w:val="single" w:sz="8" w:color="0000FF"/>
            </w:tcBorders>
          </w:tcPr>
          <w:p>
            <w:pPr>
              <w:spacing w:after="0"/>
              <w:rPr>
                <w:sz w:val="10"/>
                <w:szCs w:val="10"/>
                <w:color w:val="auto"/>
              </w:rPr>
            </w:pPr>
          </w:p>
        </w:tc>
        <w:tc>
          <w:tcPr>
            <w:tcW w:w="580" w:type="dxa"/>
            <w:vAlign w:val="bottom"/>
            <w:gridSpan w:val="29"/>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6340" w:type="dxa"/>
            <w:vAlign w:val="bottom"/>
            <w:tcBorders>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as filed with the Securities and Exchange Commission on September 30, 2025, Commission File No. 1-8649).</w:t>
              </w:r>
            </w:hyperlink>
          </w:p>
        </w:tc>
        <w:tc>
          <w:tcPr>
            <w:tcW w:w="2620" w:type="dxa"/>
            <w:vAlign w:val="bottom"/>
            <w:gridSpan w:val="11"/>
          </w:tcPr>
          <w:p>
            <w:pPr>
              <w:spacing w:after="0"/>
              <w:rPr>
                <w:sz w:val="11"/>
                <w:szCs w:val="11"/>
                <w:color w:val="auto"/>
              </w:rPr>
            </w:pPr>
          </w:p>
        </w:tc>
        <w:tc>
          <w:tcPr>
            <w:tcW w:w="580" w:type="dxa"/>
            <w:vAlign w:val="bottom"/>
            <w:gridSpan w:val="29"/>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10.38</w:t>
            </w:r>
          </w:p>
        </w:tc>
        <w:tc>
          <w:tcPr>
            <w:tcW w:w="9540" w:type="dxa"/>
            <w:vAlign w:val="bottom"/>
            <w:gridSpan w:val="52"/>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Arrangement Agreement, dated as of October 6, 2025, among The Toro Company, Tornado Acquisition Company ULC, and Tornado Infrastructure</w:t>
              </w:r>
            </w:hyperlink>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8940" w:type="dxa"/>
            <w:vAlign w:val="bottom"/>
            <w:tcBorders>
              <w:top w:val="single" w:sz="8" w:color="0000FF"/>
            </w:tcBorders>
            <w:gridSpan w:val="22"/>
          </w:tcPr>
          <w:p>
            <w:pPr>
              <w:spacing w:after="0" w:line="122" w:lineRule="exact"/>
              <w:rPr>
                <w:rFonts w:ascii="Times New Roman" w:cs="Times New Roman" w:eastAsia="Times New Roman" w:hAnsi="Times New Roman"/>
                <w:sz w:val="14"/>
                <w:szCs w:val="14"/>
                <w:u w:val="single" w:color="auto"/>
                <w:color w:val="0000FF"/>
              </w:rPr>
            </w:pPr>
            <w:hyperlink r:id="rId177">
              <w:r>
                <w:rPr>
                  <w:rFonts w:ascii="Times New Roman" w:cs="Times New Roman" w:eastAsia="Times New Roman" w:hAnsi="Times New Roman"/>
                  <w:sz w:val="14"/>
                  <w:szCs w:val="14"/>
                  <w:u w:val="single" w:color="auto"/>
                  <w:color w:val="0000FF"/>
                </w:rPr>
                <w:t>Equipment Ltd. (incorporated by reference to Exhibit 2.1 to Registrant’s Current Report on Form 8-K as filed with the Securities and Exchange</w:t>
              </w:r>
            </w:hyperlink>
          </w:p>
        </w:tc>
        <w:tc>
          <w:tcPr>
            <w:tcW w:w="600" w:type="dxa"/>
            <w:vAlign w:val="bottom"/>
            <w:gridSpan w:val="30"/>
          </w:tcPr>
          <w:p>
            <w:pPr>
              <w:spacing w:after="0"/>
              <w:rPr>
                <w:sz w:val="10"/>
                <w:szCs w:val="10"/>
                <w:color w:val="auto"/>
              </w:rPr>
            </w:pPr>
          </w:p>
        </w:tc>
        <w:tc>
          <w:tcPr>
            <w:tcW w:w="0" w:type="dxa"/>
            <w:vAlign w:val="bottom"/>
          </w:tcPr>
          <w:p>
            <w:pPr>
              <w:spacing w:after="0"/>
              <w:rPr>
                <w:sz w:val="1"/>
                <w:szCs w:val="1"/>
                <w:color w:val="auto"/>
              </w:rPr>
            </w:pPr>
          </w:p>
        </w:tc>
      </w:tr>
    </w:tbl>
    <w:p>
      <w:pPr>
        <w:ind w:left="2340"/>
        <w:spacing w:after="0"/>
        <w:rPr>
          <w:rFonts w:ascii="Times New Roman" w:cs="Times New Roman" w:eastAsia="Times New Roman" w:hAnsi="Times New Roman"/>
          <w:sz w:val="14"/>
          <w:szCs w:val="14"/>
          <w:u w:val="single" w:color="auto"/>
          <w:color w:val="0000FF"/>
        </w:rPr>
      </w:pPr>
      <w:hyperlink r:id="rId177">
        <w:r>
          <w:rPr>
            <w:rFonts w:ascii="Times New Roman" w:cs="Times New Roman" w:eastAsia="Times New Roman" w:hAnsi="Times New Roman"/>
            <w:sz w:val="14"/>
            <w:szCs w:val="14"/>
            <w:u w:val="single" w:color="auto"/>
            <w:color w:val="0000FF"/>
          </w:rPr>
          <w:t>Commission on October 8, 2025, Commission File No. 1-8649).</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340" w:hanging="890"/>
        <w:spacing w:after="0" w:line="241" w:lineRule="auto"/>
        <w:tabs>
          <w:tab w:leader="none" w:pos="23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b w:val="1"/>
          <w:bCs w:val="1"/>
          <w:color w:val="auto"/>
        </w:rPr>
        <w:t>10.39</w:t>
      </w:r>
      <w:r>
        <w:rPr>
          <w:sz w:val="20"/>
          <w:szCs w:val="20"/>
          <w:color w:val="auto"/>
        </w:rPr>
        <w:tab/>
      </w:r>
      <w:hyperlink r:id="rId179">
        <w:r>
          <w:rPr>
            <w:rFonts w:ascii="Times New Roman" w:cs="Times New Roman" w:eastAsia="Times New Roman" w:hAnsi="Times New Roman"/>
            <w:sz w:val="14"/>
            <w:szCs w:val="14"/>
            <w:u w:val="single" w:color="auto"/>
            <w:color w:val="0000FF"/>
          </w:rPr>
          <w:t>Offer Letter dated August 7, 2025 between The Toro Company and Edric C. Funk (incorporated by reference to Exhibit 10.1 to Registrant’s Current</w:t>
        </w:r>
      </w:hyperlink>
      <w:r>
        <w:rPr>
          <w:rFonts w:ascii="Times New Roman" w:cs="Times New Roman" w:eastAsia="Times New Roman" w:hAnsi="Times New Roman"/>
          <w:sz w:val="14"/>
          <w:szCs w:val="14"/>
          <w:u w:val="single" w:color="auto"/>
          <w:color w:val="0000FF"/>
        </w:rPr>
        <w:t xml:space="preserve"> </w:t>
      </w:r>
      <w:hyperlink r:id="rId179">
        <w:r>
          <w:rPr>
            <w:rFonts w:ascii="Times New Roman" w:cs="Times New Roman" w:eastAsia="Times New Roman" w:hAnsi="Times New Roman"/>
            <w:sz w:val="14"/>
            <w:szCs w:val="14"/>
            <w:u w:val="single" w:color="auto"/>
            <w:color w:val="0000FF"/>
          </w:rPr>
          <w:t>Report on Form 8-K as filed with the Securities and Exchange Commission on August 12, 2025, Commission File No. 1-8649).*</w:t>
        </w:r>
      </w:hyperlink>
    </w:p>
    <w:p>
      <w:pPr>
        <w:spacing w:after="0" w:line="16" w:lineRule="exact"/>
        <w:rPr>
          <w:sz w:val="20"/>
          <w:szCs w:val="20"/>
          <w:color w:val="auto"/>
        </w:rPr>
      </w:pPr>
    </w:p>
    <w:p>
      <w:pPr>
        <w:ind w:left="2340" w:hanging="897"/>
        <w:spacing w:after="0" w:line="241" w:lineRule="auto"/>
        <w:tabs>
          <w:tab w:leader="none" w:pos="2340" w:val="left"/>
        </w:tabs>
        <w:numPr>
          <w:ilvl w:val="0"/>
          <w:numId w:val="46"/>
        </w:numPr>
        <w:rPr>
          <w:rFonts w:ascii="Times New Roman" w:cs="Times New Roman" w:eastAsia="Times New Roman" w:hAnsi="Times New Roman"/>
          <w:sz w:val="14"/>
          <w:szCs w:val="14"/>
          <w:u w:val="single" w:color="auto"/>
          <w:color w:val="0000FF"/>
        </w:rPr>
      </w:pPr>
      <w:hyperlink r:id="rId180">
        <w:r>
          <w:rPr>
            <w:rFonts w:ascii="Times New Roman" w:cs="Times New Roman" w:eastAsia="Times New Roman" w:hAnsi="Times New Roman"/>
            <w:sz w:val="14"/>
            <w:szCs w:val="14"/>
            <w:u w:val="single" w:color="auto"/>
            <w:color w:val="0000FF"/>
          </w:rPr>
          <w:t>Insider Trading Policy (incorporated by reference to Exhibit 19 to Registrant's Annual Report on Form 10-K for the fiscal year ended October 31, 2024,</w:t>
        </w:r>
      </w:hyperlink>
      <w:r>
        <w:rPr>
          <w:rFonts w:ascii="Times New Roman" w:cs="Times New Roman" w:eastAsia="Times New Roman" w:hAnsi="Times New Roman"/>
          <w:sz w:val="14"/>
          <w:szCs w:val="14"/>
          <w:u w:val="single" w:color="auto"/>
          <w:color w:val="0000FF"/>
        </w:rPr>
        <w:t xml:space="preserve"> </w:t>
      </w:r>
      <w:hyperlink r:id="rId180">
        <w:r>
          <w:rPr>
            <w:rFonts w:ascii="Times New Roman" w:cs="Times New Roman" w:eastAsia="Times New Roman" w:hAnsi="Times New Roman"/>
            <w:sz w:val="14"/>
            <w:szCs w:val="14"/>
            <w:u w:val="single" w:color="auto"/>
            <w:color w:val="0000FF"/>
          </w:rPr>
          <w:t>Commission File No. 1-8649).</w:t>
        </w:r>
      </w:hyperlink>
    </w:p>
    <w:p>
      <w:pPr>
        <w:spacing w:after="0" w:line="14" w:lineRule="exact"/>
        <w:rPr>
          <w:rFonts w:ascii="Times New Roman" w:cs="Times New Roman" w:eastAsia="Times New Roman" w:hAnsi="Times New Roman"/>
          <w:sz w:val="14"/>
          <w:szCs w:val="14"/>
          <w:b w:val="1"/>
          <w:bCs w:val="1"/>
          <w:color w:val="auto"/>
        </w:rPr>
      </w:pPr>
    </w:p>
    <w:p>
      <w:pPr>
        <w:ind w:left="2340" w:hanging="897"/>
        <w:spacing w:after="0"/>
        <w:tabs>
          <w:tab w:leader="none" w:pos="2340"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0000FF"/>
        </w:rPr>
        <w:t>Subsidiaries of Registrant (filed herewith).</w:t>
      </w:r>
    </w:p>
    <w:p>
      <w:pPr>
        <w:spacing w:after="0" w:line="38" w:lineRule="exact"/>
        <w:rPr>
          <w:rFonts w:ascii="Times New Roman" w:cs="Times New Roman" w:eastAsia="Times New Roman" w:hAnsi="Times New Roman"/>
          <w:sz w:val="14"/>
          <w:szCs w:val="14"/>
          <w:b w:val="1"/>
          <w:bCs w:val="1"/>
          <w:color w:val="auto"/>
        </w:rPr>
      </w:pPr>
    </w:p>
    <w:tbl>
      <w:tblPr>
        <w:tblLayout w:type="fixed"/>
        <w:tblInd w:w="1440" w:type="dxa"/>
        <w:tblCellMar>
          <w:top w:w="0" w:type="dxa"/>
          <w:left w:w="0" w:type="dxa"/>
          <w:bottom w:w="0" w:type="dxa"/>
          <w:right w:w="0" w:type="dxa"/>
        </w:tblCellMar>
      </w:tblPr>
      <w:tr>
        <w:trPr>
          <w:trHeight w:val="161"/>
        </w:trPr>
        <w:tc>
          <w:tcPr>
            <w:tcW w:w="9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w w:val="97"/>
              </w:rPr>
              <w:t>23.1</w:t>
            </w:r>
          </w:p>
        </w:tc>
        <w:tc>
          <w:tcPr>
            <w:tcW w:w="4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 (filed herewith).</w:t>
            </w:r>
          </w:p>
        </w:tc>
        <w:tc>
          <w:tcPr>
            <w:tcW w:w="3300" w:type="dxa"/>
            <w:vAlign w:val="bottom"/>
            <w:gridSpan w:val="2"/>
          </w:tcPr>
          <w:p>
            <w:pPr>
              <w:spacing w:after="0"/>
              <w:rPr>
                <w:sz w:val="13"/>
                <w:szCs w:val="13"/>
                <w:color w:val="auto"/>
              </w:rPr>
            </w:pPr>
          </w:p>
        </w:tc>
      </w:tr>
      <w:tr>
        <w:trPr>
          <w:trHeight w:val="183"/>
        </w:trPr>
        <w:tc>
          <w:tcPr>
            <w:tcW w:w="9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w w:val="97"/>
              </w:rPr>
              <w:t>24.1</w:t>
            </w:r>
          </w:p>
        </w:tc>
        <w:tc>
          <w:tcPr>
            <w:tcW w:w="2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Power of Attorney (filed herewith).</w:t>
            </w:r>
          </w:p>
        </w:tc>
        <w:tc>
          <w:tcPr>
            <w:tcW w:w="5680" w:type="dxa"/>
            <w:vAlign w:val="bottom"/>
            <w:gridSpan w:val="3"/>
          </w:tcPr>
          <w:p>
            <w:pPr>
              <w:spacing w:after="0"/>
              <w:rPr>
                <w:sz w:val="15"/>
                <w:szCs w:val="15"/>
                <w:color w:val="auto"/>
              </w:rPr>
            </w:pPr>
          </w:p>
        </w:tc>
      </w:tr>
      <w:tr>
        <w:trPr>
          <w:trHeight w:val="183"/>
        </w:trPr>
        <w:tc>
          <w:tcPr>
            <w:tcW w:w="9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w w:val="97"/>
              </w:rPr>
              <w:t>31.1</w:t>
            </w:r>
          </w:p>
        </w:tc>
        <w:tc>
          <w:tcPr>
            <w:tcW w:w="7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 (Section 302 of the Sarbanes-Oxley Act of 2002) (filed herewith).</w:t>
            </w:r>
          </w:p>
        </w:tc>
      </w:tr>
      <w:tr>
        <w:trPr>
          <w:trHeight w:val="183"/>
        </w:trPr>
        <w:tc>
          <w:tcPr>
            <w:tcW w:w="9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w w:val="97"/>
              </w:rPr>
              <w:t>31.2</w:t>
            </w:r>
          </w:p>
        </w:tc>
        <w:tc>
          <w:tcPr>
            <w:tcW w:w="7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 (Section 302 of the Sarbanes-Oxley Act of 2002) (filed herewith).</w:t>
            </w:r>
          </w:p>
        </w:tc>
        <w:tc>
          <w:tcPr>
            <w:tcW w:w="40" w:type="dxa"/>
            <w:vAlign w:val="bottom"/>
          </w:tcPr>
          <w:p>
            <w:pPr>
              <w:spacing w:after="0"/>
              <w:rPr>
                <w:sz w:val="15"/>
                <w:szCs w:val="15"/>
                <w:color w:val="auto"/>
              </w:rPr>
            </w:pPr>
          </w:p>
        </w:tc>
      </w:tr>
    </w:tbl>
    <w:p>
      <w:pPr>
        <w:spacing w:after="0" w:line="31" w:lineRule="exact"/>
        <w:rPr>
          <w:rFonts w:ascii="Times New Roman" w:cs="Times New Roman" w:eastAsia="Times New Roman" w:hAnsi="Times New Roman"/>
          <w:sz w:val="14"/>
          <w:szCs w:val="14"/>
          <w:b w:val="1"/>
          <w:bCs w:val="1"/>
          <w:color w:val="auto"/>
        </w:rPr>
      </w:pPr>
    </w:p>
    <w:p>
      <w:pPr>
        <w:ind w:left="2340" w:right="20" w:hanging="897"/>
        <w:spacing w:after="0" w:line="241" w:lineRule="auto"/>
        <w:tabs>
          <w:tab w:leader="none" w:pos="234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0000FF"/>
        </w:rPr>
        <w:t>Certification of Chief Executive Officer and Chief Financial Officer Pursuant to 18 U.S.C. Section 1350, as Adopted Pursuant to Section 906 of the Sarbanes-Oxley Act of 2002 (furnished herewith).</w:t>
      </w:r>
    </w:p>
    <w:p>
      <w:pPr>
        <w:spacing w:after="0" w:line="14" w:lineRule="exact"/>
        <w:rPr>
          <w:rFonts w:ascii="Times New Roman" w:cs="Times New Roman" w:eastAsia="Times New Roman" w:hAnsi="Times New Roman"/>
          <w:sz w:val="14"/>
          <w:szCs w:val="14"/>
          <w:b w:val="1"/>
          <w:bCs w:val="1"/>
          <w:color w:val="auto"/>
        </w:rPr>
      </w:pPr>
    </w:p>
    <w:p>
      <w:pPr>
        <w:ind w:left="2340" w:hanging="897"/>
        <w:spacing w:after="0"/>
        <w:tabs>
          <w:tab w:leader="none" w:pos="2340"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0000FF"/>
        </w:rPr>
        <w:t>Clawback Policy (filed herewith)*.</w:t>
      </w:r>
    </w:p>
    <w:p>
      <w:pPr>
        <w:spacing w:after="0" w:line="42" w:lineRule="exact"/>
        <w:rPr>
          <w:rFonts w:ascii="Times New Roman" w:cs="Times New Roman" w:eastAsia="Times New Roman" w:hAnsi="Times New Roman"/>
          <w:sz w:val="14"/>
          <w:szCs w:val="14"/>
          <w:b w:val="1"/>
          <w:bCs w:val="1"/>
          <w:color w:val="auto"/>
        </w:rPr>
      </w:pPr>
    </w:p>
    <w:p>
      <w:pPr>
        <w:jc w:val="both"/>
        <w:ind w:left="2340" w:hanging="897"/>
        <w:spacing w:after="0" w:line="224" w:lineRule="auto"/>
        <w:tabs>
          <w:tab w:leader="none" w:pos="234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financial information from The Toro Company's Annual Report on Form 10-K for the fiscal year ended October 31, 2025, filed with the SEC on December 17, 2025, formatted in Inline eXtensible Business Reporting Language (Inline XBRL): (i) Consolidated Statements of Earnings for each of the fiscal years in the three-year period ended October 31, 2025, (ii) Consolidated Statements of Comprehensive Income for each of the fiscal years in the three-year period ended October 31, 2025, (iii) Consolidated Balance Sheets as of October 31, 2025 and 2024, (iv) Consolidated Statements of Cash Flows for each of the fiscal years in the three-year period ended October 31, 2025, (v) Consolidated Statements of Stockholders' Equity each of the fiscal years in the three-year period ended October 31, 2025, and (vi) Notes to Consolidated Financial Statements (filed herewith).</w:t>
      </w:r>
    </w:p>
    <w:p>
      <w:pPr>
        <w:spacing w:after="0" w:line="16" w:lineRule="exact"/>
        <w:rPr>
          <w:rFonts w:ascii="Times New Roman" w:cs="Times New Roman" w:eastAsia="Times New Roman" w:hAnsi="Times New Roman"/>
          <w:sz w:val="14"/>
          <w:szCs w:val="14"/>
          <w:b w:val="1"/>
          <w:bCs w:val="1"/>
          <w:color w:val="auto"/>
        </w:rPr>
      </w:pPr>
    </w:p>
    <w:p>
      <w:pPr>
        <w:ind w:left="2340" w:hanging="897"/>
        <w:spacing w:after="0"/>
        <w:tabs>
          <w:tab w:leader="none" w:pos="2340" w:val="left"/>
        </w:tabs>
        <w:numPr>
          <w:ilvl w:val="1"/>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17" w:lineRule="exact"/>
        <w:rPr>
          <w:rFonts w:ascii="Times New Roman" w:cs="Times New Roman" w:eastAsia="Times New Roman" w:hAnsi="Times New Roman"/>
          <w:sz w:val="14"/>
          <w:szCs w:val="14"/>
          <w:b w:val="1"/>
          <w:bCs w:val="1"/>
          <w:color w:val="auto"/>
        </w:rPr>
      </w:pPr>
    </w:p>
    <w:p>
      <w:pPr>
        <w:ind w:left="980" w:right="3620"/>
        <w:spacing w:after="0" w:line="422" w:lineRule="auto"/>
        <w:tabs>
          <w:tab w:leader="none" w:pos="1184"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 portions of this exhibit have been redacted in compliance with Item 601(b)(10) of Regulation S-K. * Management contract or compensatory plan or arrangement.</w:t>
      </w:r>
    </w:p>
    <w:p>
      <w:pPr>
        <w:spacing w:after="0" w:line="1" w:lineRule="exact"/>
        <w:rPr>
          <w:rFonts w:ascii="Times New Roman" w:cs="Times New Roman" w:eastAsia="Times New Roman" w:hAnsi="Times New Roman"/>
          <w:sz w:val="14"/>
          <w:szCs w:val="14"/>
          <w:b w:val="1"/>
          <w:bCs w:val="1"/>
          <w:color w:val="auto"/>
        </w:rPr>
      </w:pPr>
    </w:p>
    <w:p>
      <w:pPr>
        <w:ind w:left="1300" w:right="140" w:hanging="320"/>
        <w:spacing w:after="0" w:line="302" w:lineRule="auto"/>
        <w:tabs>
          <w:tab w:leader="none" w:pos="1303"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exhibits and schedules to this exhibit have been omitted pursuant to Item 601(b)(2) of Regulation S-K. TTC will furnish the omitted exhibits and schedules to the Securities and Exchange Commission upon request by the Securities and Exchange Commission.</w:t>
      </w:r>
    </w:p>
    <w:p>
      <w:pPr>
        <w:spacing w:after="0" w:line="166" w:lineRule="exact"/>
        <w:rPr>
          <w:rFonts w:ascii="Times New Roman" w:cs="Times New Roman" w:eastAsia="Times New Roman" w:hAnsi="Times New Roman"/>
          <w:sz w:val="14"/>
          <w:szCs w:val="14"/>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117" w:lineRule="exact"/>
        <w:rPr>
          <w:rFonts w:ascii="Times New Roman" w:cs="Times New Roman" w:eastAsia="Times New Roman" w:hAnsi="Times New Roman"/>
          <w:sz w:val="14"/>
          <w:szCs w:val="14"/>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117" w:lineRule="exact"/>
        <w:rPr>
          <w:rFonts w:ascii="Times New Roman" w:cs="Times New Roman" w:eastAsia="Times New Roman" w:hAnsi="Times New Roman"/>
          <w:sz w:val="14"/>
          <w:szCs w:val="14"/>
          <w:b w:val="1"/>
          <w:bCs w:val="1"/>
          <w:color w:val="auto"/>
        </w:rPr>
      </w:pPr>
    </w:p>
    <w:p>
      <w:pPr>
        <w:ind w:right="8760" w:firstLine="8"/>
        <w:spacing w:after="0" w:line="375" w:lineRule="auto"/>
        <w:tabs>
          <w:tab w:leader="none" w:pos="2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See Item 15(a)(2) above.</w:t>
      </w:r>
    </w:p>
    <w:p>
      <w:pPr>
        <w:spacing w:after="0" w:line="1" w:lineRule="exact"/>
        <w:rPr>
          <w:rFonts w:ascii="Times New Roman" w:cs="Times New Roman" w:eastAsia="Times New Roman" w:hAnsi="Times New Roman"/>
          <w:sz w:val="14"/>
          <w:szCs w:val="14"/>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ITEM 16. FORM 10-K SUMMARY</w:t>
      </w:r>
    </w:p>
    <w:p>
      <w:pPr>
        <w:spacing w:after="0" w:line="27" w:lineRule="exact"/>
        <w:rPr>
          <w:rFonts w:ascii="Times New Roman" w:cs="Times New Roman" w:eastAsia="Times New Roman" w:hAnsi="Times New Roman"/>
          <w:sz w:val="14"/>
          <w:szCs w:val="14"/>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4"/>
          <w:szCs w:val="14"/>
          <w:b w:val="1"/>
          <w:bCs w:val="1"/>
          <w:color w:val="auto"/>
        </w:rPr>
      </w:pPr>
    </w:p>
    <w:p>
      <w:pPr>
        <w:spacing w:after="0" w:line="385" w:lineRule="exact"/>
        <w:rPr>
          <w:rFonts w:ascii="Times New Roman" w:cs="Times New Roman" w:eastAsia="Times New Roman" w:hAnsi="Times New Roman"/>
          <w:sz w:val="14"/>
          <w:szCs w:val="14"/>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17145</wp:posOffset>
            </wp:positionV>
            <wp:extent cx="26231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2">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(Registrant)</w:t>
      </w:r>
    </w:p>
    <w:p>
      <w:pPr>
        <w:spacing w:after="0" w:line="279" w:lineRule="exact"/>
        <w:rPr>
          <w:sz w:val="20"/>
          <w:szCs w:val="20"/>
          <w:color w:val="auto"/>
        </w:rPr>
      </w:pPr>
    </w:p>
    <w:p>
      <w:pPr>
        <w:ind w:left="20"/>
        <w:spacing w:after="0"/>
        <w:tabs>
          <w:tab w:leader="none" w:pos="640" w:val="left"/>
          <w:tab w:leader="none" w:pos="8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Angela C. Drake</w:t>
      </w:r>
      <w:r>
        <w:rPr>
          <w:sz w:val="20"/>
          <w:szCs w:val="20"/>
          <w:color w:val="auto"/>
        </w:rPr>
        <w:tab/>
      </w:r>
      <w:r>
        <w:rPr>
          <w:rFonts w:ascii="Times New Roman" w:cs="Times New Roman" w:eastAsia="Times New Roman" w:hAnsi="Times New Roman"/>
          <w:sz w:val="17"/>
          <w:szCs w:val="17"/>
          <w:color w:val="auto"/>
        </w:rPr>
        <w:t>Dated: December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17145</wp:posOffset>
            </wp:positionV>
            <wp:extent cx="26231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Angela C. Drake</w:t>
      </w:r>
    </w:p>
    <w:p>
      <w:pPr>
        <w:ind w:left="660"/>
        <w:spacing w:after="0" w:line="219" w:lineRule="auto"/>
        <w:rPr>
          <w:sz w:val="20"/>
          <w:szCs w:val="20"/>
          <w:color w:val="auto"/>
        </w:rPr>
      </w:pPr>
      <w:r>
        <w:rPr>
          <w:rFonts w:ascii="Times New Roman" w:cs="Times New Roman" w:eastAsia="Times New Roman" w:hAnsi="Times New Roman"/>
          <w:sz w:val="18"/>
          <w:szCs w:val="18"/>
          <w:color w:val="auto"/>
        </w:rPr>
        <w:t>Vice President and Chief Financial Officer</w:t>
      </w:r>
    </w:p>
    <w:p>
      <w:pPr>
        <w:ind w:left="660"/>
        <w:spacing w:after="0"/>
        <w:rPr>
          <w:sz w:val="20"/>
          <w:szCs w:val="20"/>
          <w:color w:val="auto"/>
        </w:rPr>
      </w:pPr>
      <w:r>
        <w:rPr>
          <w:rFonts w:ascii="Times New Roman" w:cs="Times New Roman" w:eastAsia="Times New Roman" w:hAnsi="Times New Roman"/>
          <w:sz w:val="18"/>
          <w:szCs w:val="18"/>
          <w:color w:val="auto"/>
        </w:rPr>
        <w:t>*Attorney-in-Fact</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left="20"/>
        <w:spacing w:after="0"/>
        <w:tabs>
          <w:tab w:leader="none" w:pos="2500" w:val="left"/>
          <w:tab w:leader="none" w:pos="898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p>
      <w:pPr>
        <w:jc w:val="right"/>
        <w:ind w:left="20" w:right="260"/>
        <w:spacing w:after="0" w:line="329" w:lineRule="auto"/>
        <w:rPr>
          <w:sz w:val="20"/>
          <w:szCs w:val="20"/>
          <w:color w:val="auto"/>
        </w:rPr>
      </w:pPr>
      <w:r>
        <w:rPr>
          <w:rFonts w:ascii="Times New Roman" w:cs="Times New Roman" w:eastAsia="Times New Roman" w:hAnsi="Times New Roman"/>
          <w:sz w:val="18"/>
          <w:szCs w:val="18"/>
          <w:color w:val="auto"/>
        </w:rPr>
        <w:t>/s/ Richard M. Olson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517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74" w:lineRule="exact"/>
        <w:rPr>
          <w:sz w:val="20"/>
          <w:szCs w:val="20"/>
          <w:color w:val="auto"/>
        </w:rPr>
      </w:pPr>
    </w:p>
    <w:p>
      <w:pPr>
        <w:jc w:val="right"/>
        <w:ind w:left="20" w:right="340"/>
        <w:spacing w:after="0" w:line="329" w:lineRule="auto"/>
        <w:rPr>
          <w:sz w:val="20"/>
          <w:szCs w:val="20"/>
          <w:color w:val="auto"/>
        </w:rPr>
      </w:pPr>
      <w:r>
        <w:rPr>
          <w:rFonts w:ascii="Times New Roman" w:cs="Times New Roman" w:eastAsia="Times New Roman" w:hAnsi="Times New Roman"/>
          <w:sz w:val="18"/>
          <w:szCs w:val="18"/>
          <w:color w:val="auto"/>
        </w:rPr>
        <w:t>/s/ Angela C. Drake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517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Dianne C. Craig</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Gary L. Ellis</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Eric P. Hansotia</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1">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Jeffrey L. Harmening</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2">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 Christian Koch</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Joyce A. Mullen</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James C. O'Rourke</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5">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Jill M. Pemberton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820"/>
        <w:spacing w:after="0" w:line="237" w:lineRule="auto"/>
        <w:rPr>
          <w:sz w:val="20"/>
          <w:szCs w:val="20"/>
          <w:color w:val="auto"/>
        </w:rPr>
      </w:pPr>
      <w:r>
        <w:rPr>
          <w:rFonts w:ascii="Times New Roman" w:cs="Times New Roman" w:eastAsia="Times New Roman" w:hAnsi="Times New Roman"/>
          <w:sz w:val="18"/>
          <w:szCs w:val="18"/>
          <w:color w:val="auto"/>
        </w:rPr>
        <w:t>Chairman of the Board and Chief Executive Officer and Director (principal executive December 17, 2025 officer), *Attorney-in-Fact</w:t>
      </w:r>
    </w:p>
    <w:p>
      <w:pPr>
        <w:spacing w:after="0" w:line="253" w:lineRule="exact"/>
        <w:rPr>
          <w:sz w:val="20"/>
          <w:szCs w:val="20"/>
          <w:color w:val="auto"/>
        </w:rPr>
      </w:pPr>
    </w:p>
    <w:p>
      <w:pPr>
        <w:ind w:right="820"/>
        <w:spacing w:after="0" w:line="237" w:lineRule="auto"/>
        <w:rPr>
          <w:sz w:val="20"/>
          <w:szCs w:val="20"/>
          <w:color w:val="auto"/>
        </w:rPr>
      </w:pPr>
      <w:r>
        <w:rPr>
          <w:rFonts w:ascii="Times New Roman" w:cs="Times New Roman" w:eastAsia="Times New Roman" w:hAnsi="Times New Roman"/>
          <w:sz w:val="18"/>
          <w:szCs w:val="18"/>
          <w:color w:val="auto"/>
        </w:rPr>
        <w:t>Vice President and Chief Financial Officer (principal financial and accounting officer), December 17, 2025 *Attorney-in-Fact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442" w:lineRule="exact"/>
        <w:rPr>
          <w:sz w:val="20"/>
          <w:szCs w:val="20"/>
          <w:color w:val="auto"/>
        </w:rPr>
      </w:pPr>
    </w:p>
    <w:p>
      <w:pPr>
        <w:sectPr>
          <w:pgSz w:w="11900" w:h="16838" w:orient="portrait"/>
          <w:cols w:equalWidth="0" w:num="2">
            <w:col w:w="1800" w:space="720"/>
            <w:col w:w="87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21" w:right="339" w:bottom="1440" w:gutter="0" w:footer="0" w:header="0"/>
          <w:type w:val="continuous"/>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u w:val="single" w:color="auto"/>
          <w:color w:val="auto"/>
        </w:rPr>
        <w:t>Exhibit 19</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Legal Department</w:t>
      </w:r>
    </w:p>
    <w:p>
      <w:pPr>
        <w:spacing w:after="0" w:line="3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Policy:</w:t>
      </w:r>
      <w:r>
        <w:rPr>
          <w:sz w:val="20"/>
          <w:szCs w:val="20"/>
          <w:color w:val="auto"/>
        </w:rPr>
        <w:tab/>
      </w:r>
      <w:r>
        <w:rPr>
          <w:rFonts w:ascii="Times New Roman" w:cs="Times New Roman" w:eastAsia="Times New Roman" w:hAnsi="Times New Roman"/>
          <w:sz w:val="22"/>
          <w:szCs w:val="22"/>
          <w:color w:val="auto"/>
        </w:rPr>
        <w:t>Insider Trading Policy</w:t>
      </w:r>
    </w:p>
    <w:p>
      <w:pPr>
        <w:spacing w:after="0" w:line="1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2"/>
          <w:szCs w:val="22"/>
          <w:b w:val="1"/>
          <w:bCs w:val="1"/>
          <w:color w:val="auto"/>
        </w:rPr>
        <w:t>For:</w:t>
      </w:r>
      <w:r>
        <w:rPr>
          <w:sz w:val="20"/>
          <w:szCs w:val="20"/>
          <w:color w:val="auto"/>
        </w:rPr>
        <w:tab/>
      </w:r>
      <w:r>
        <w:rPr>
          <w:rFonts w:ascii="Times New Roman" w:cs="Times New Roman" w:eastAsia="Times New Roman" w:hAnsi="Times New Roman"/>
          <w:sz w:val="22"/>
          <w:szCs w:val="22"/>
          <w:color w:val="auto"/>
        </w:rPr>
        <w:t>All Employees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6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Federal and state securities laws provide for civil and criminal penalties against a person who trades while in possession of material non-public information (or tips such information to another person who then trades) and realizes a profit (or avoids a loss) in the securities. This is known as “insider trading.” Penalties may also apply to The Toro Company (“TTC”, "the company") in the event TTC is unable to show it has taken appropriate steps to prevent insider trading in TTC securities. Therefore, TTC has adopted this Insider Trading Policy (the “Policy”).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This Policy applies to:</w:t>
      </w:r>
    </w:p>
    <w:p>
      <w:pPr>
        <w:spacing w:after="0" w:line="148"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all members of TTC’s Board of Directors (each, a “Director”),</w:t>
      </w:r>
    </w:p>
    <w:p>
      <w:pPr>
        <w:spacing w:after="0" w:line="2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all officers of TTC (each, an “Officer”),</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all employees of TTC,</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identified consultants or contractors who have access to material non-public information regarding TTC, and</w:t>
      </w:r>
    </w:p>
    <w:p>
      <w:pPr>
        <w:spacing w:after="0" w:line="6" w:lineRule="exact"/>
        <w:rPr>
          <w:rFonts w:ascii="Times New Roman" w:cs="Times New Roman" w:eastAsia="Times New Roman" w:hAnsi="Times New Roman"/>
          <w:sz w:val="20"/>
          <w:szCs w:val="20"/>
          <w:color w:val="auto"/>
        </w:rPr>
      </w:pPr>
    </w:p>
    <w:p>
      <w:pPr>
        <w:ind w:left="660" w:right="300" w:hanging="328"/>
        <w:spacing w:after="0" w:line="268" w:lineRule="auto"/>
        <w:tabs>
          <w:tab w:leader="none" w:pos="648"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any immediate family member of a person covered by this Policy (i.e., the person's spouse, parents, stepparents, grandparents, children, stepchildren, grandchildren, siblings, mothers- or fathers-in-law, sons or daughters-in-law, brothers- or sisters-in-law that share the person’s home, including a child away at college) and other members of their household, their economic dependents, and any person whose transactions in TTC securities are directed, influenced or controlled by a person subject to this Policy, or any trusts or other entities under such person’s control (“related parties”).</w:t>
      </w:r>
    </w:p>
    <w:p>
      <w:pPr>
        <w:spacing w:after="0" w:line="19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b w:val="1"/>
          <w:bCs w:val="1"/>
          <w:color w:val="auto"/>
        </w:rPr>
        <w:t>It is the policy of TTC that no Director, Officer, or employee of TTC or their related parties (or any other person designated by this Policy as subject to this Policy) who is aware of material non-public information relating to TTC may, directly, or indirectly through family members or other persons or entities, engage in transactions in TTC securities, nor engage in any other action to take advantage of, or pass on to others, such information.</w:t>
      </w:r>
    </w:p>
    <w:p>
      <w:pPr>
        <w:spacing w:after="0" w:line="10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20"/>
          <w:szCs w:val="20"/>
          <w:b w:val="1"/>
          <w:bCs w:val="1"/>
          <w:color w:val="auto"/>
        </w:rPr>
        <w:t>Each Director, Officer and employee of TTC is responsible for the transactions of their related parties, and therefore, the related parties should be made aware of the need to confer with the TTC Director, Officer or employee before trading in TTC securities. For the purposes of this Policy and applicable securities laws, such transactions should be treated as if the transactions were for the TTC Director’s, Officer’s or employee’s account. This Policy does not, however, apply to personal securities transactions of related parties where the purchase or sale decision is made by a third party not controlled by, influenced by or related to the Director, Officer and employee of TTC or their related parties.</w:t>
      </w:r>
    </w:p>
    <w:p>
      <w:pPr>
        <w:spacing w:after="0" w:line="11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Directors, Officers and certain other TTC employees or others designated by TTC’s General Counsel (collectively, the “Restricted Persons”) are also subject to additional requirements reflected in the Addendum hereto.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Toro Company reserves the right to amend or rescind this policy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at any time with or without written notice to employees.</w:t>
      </w:r>
    </w:p>
    <w:p>
      <w:pPr>
        <w:sectPr>
          <w:pgSz w:w="11900" w:h="16838" w:orient="portrait"/>
          <w:cols w:equalWidth="0" w:num="1">
            <w:col w:w="11240"/>
          </w:cols>
          <w:pgMar w:left="320" w:top="130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43" w:lineRule="exact"/>
        <w:rPr>
          <w:sz w:val="20"/>
          <w:szCs w:val="20"/>
          <w:color w:val="auto"/>
        </w:rPr>
      </w:pPr>
    </w:p>
    <w:p>
      <w:pPr>
        <w:ind w:left="740" w:right="60" w:hanging="318"/>
        <w:spacing w:after="0" w:line="254" w:lineRule="auto"/>
        <w:tabs>
          <w:tab w:leader="none" w:pos="73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What is “material information”?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is material if a reasonable investor would consider that information important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making a decision to buy, sell, or hold TTC securities (or securities of any other company with whom TTC does business), or would view that information as significantly altering the total mix of information available in the marketplace. As a general rule, any information, whether positive or negative, that would affect the value of stock (or such other securities) should be considered material. Materiality generally depends on the particular facts and circumstances, and is determined from the perspective of a “reasonable investor” – not the actual recipient. While there is no bright-line standard or list of items that can define materiality in all cases, items that are usually considered material include:</w:t>
      </w:r>
    </w:p>
    <w:p>
      <w:pPr>
        <w:spacing w:after="0" w:line="217" w:lineRule="exact"/>
        <w:rPr>
          <w:rFonts w:ascii="Times New Roman" w:cs="Times New Roman" w:eastAsia="Times New Roman" w:hAnsi="Times New Roman"/>
          <w:sz w:val="20"/>
          <w:szCs w:val="20"/>
          <w:color w:val="auto"/>
        </w:rPr>
      </w:pPr>
    </w:p>
    <w:p>
      <w:pPr>
        <w:ind w:left="1720" w:right="760" w:hanging="326"/>
        <w:spacing w:after="0" w:line="254" w:lineRule="auto"/>
        <w:tabs>
          <w:tab w:leader="none" w:pos="170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performance, especially quarterly and year-end earnings and revenues, and changes in a company’s financial projections or guidance;</w:t>
      </w:r>
    </w:p>
    <w:p>
      <w:pPr>
        <w:spacing w:after="0" w:line="1"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borrowings or other financing transactions out of the ordinary course;</w:t>
      </w:r>
    </w:p>
    <w:p>
      <w:pPr>
        <w:spacing w:after="0" w:line="6" w:lineRule="exact"/>
        <w:rPr>
          <w:rFonts w:ascii="Times New Roman" w:cs="Times New Roman" w:eastAsia="Times New Roman" w:hAnsi="Times New Roman"/>
          <w:sz w:val="20"/>
          <w:szCs w:val="20"/>
          <w:color w:val="auto"/>
        </w:rPr>
      </w:pPr>
    </w:p>
    <w:p>
      <w:pPr>
        <w:ind w:left="1720" w:right="1340" w:hanging="326"/>
        <w:spacing w:after="0" w:line="246" w:lineRule="auto"/>
        <w:tabs>
          <w:tab w:leader="none" w:pos="170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potential or proposed joint venture, merger, significant business acquisition or divestiture, or tender offer;</w:t>
      </w:r>
    </w:p>
    <w:p>
      <w:pPr>
        <w:spacing w:after="0" w:line="1" w:lineRule="exact"/>
        <w:rPr>
          <w:rFonts w:ascii="Times New Roman" w:cs="Times New Roman" w:eastAsia="Times New Roman" w:hAnsi="Times New Roman"/>
          <w:sz w:val="20"/>
          <w:szCs w:val="20"/>
          <w:color w:val="auto"/>
        </w:rPr>
      </w:pPr>
    </w:p>
    <w:p>
      <w:pPr>
        <w:ind w:left="1700" w:hanging="306"/>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restructuring;</w:t>
      </w:r>
    </w:p>
    <w:p>
      <w:pPr>
        <w:spacing w:after="0" w:line="6" w:lineRule="exact"/>
        <w:rPr>
          <w:rFonts w:ascii="Times New Roman" w:cs="Times New Roman" w:eastAsia="Times New Roman" w:hAnsi="Times New Roman"/>
          <w:sz w:val="20"/>
          <w:szCs w:val="20"/>
          <w:color w:val="auto"/>
        </w:rPr>
      </w:pPr>
    </w:p>
    <w:p>
      <w:pPr>
        <w:ind w:left="1700" w:hanging="306"/>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related party transactions;</w:t>
      </w:r>
    </w:p>
    <w:p>
      <w:pPr>
        <w:spacing w:after="0" w:line="13"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 or loss of a significant customer, supplier, distributor or contract;</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disruptions and/or shortages in key commodities, components, parts or accessories;</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litigation, or the resolution of such litigation;</w:t>
      </w:r>
    </w:p>
    <w:p>
      <w:pPr>
        <w:spacing w:after="0" w:line="6" w:lineRule="exact"/>
        <w:rPr>
          <w:rFonts w:ascii="Times New Roman" w:cs="Times New Roman" w:eastAsia="Times New Roman" w:hAnsi="Times New Roman"/>
          <w:sz w:val="20"/>
          <w:szCs w:val="20"/>
          <w:color w:val="auto"/>
        </w:rPr>
      </w:pPr>
    </w:p>
    <w:p>
      <w:pPr>
        <w:ind w:left="1720" w:hanging="327"/>
        <w:spacing w:after="0" w:line="248" w:lineRule="auto"/>
        <w:tabs>
          <w:tab w:leader="none" w:pos="1707"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TTC securities, including pending or contemplated public or private sales of debt or equity securities, adoption of stock repurchase programs or redemptions of securities, stock splits or increases or decreases in dividends;</w:t>
      </w:r>
    </w:p>
    <w:p>
      <w:pPr>
        <w:spacing w:after="0" w:line="2"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significant write-offs, restructuring charges or asset impairments;</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company’s auditors or notification that the auditor’s reports may no longer be relied upon;</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receivership, or the existence of other severe liquidity problems;</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default or acceleration of a material obligation;</w:t>
      </w:r>
    </w:p>
    <w:p>
      <w:pPr>
        <w:spacing w:after="0" w:line="13"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a rating agency decision or issuance of a credit watch;</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TTC’s pricing or cost structure;</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marketing changes;</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management;</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a significant new product, process or service;</w:t>
      </w:r>
    </w:p>
    <w:p>
      <w:pPr>
        <w:spacing w:after="0" w:line="13"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product defects or recalls;</w:t>
      </w:r>
    </w:p>
    <w:p>
      <w:pPr>
        <w:spacing w:after="0" w:line="6" w:lineRule="exact"/>
        <w:rPr>
          <w:rFonts w:ascii="Times New Roman" w:cs="Times New Roman" w:eastAsia="Times New Roman" w:hAnsi="Times New Roman"/>
          <w:sz w:val="20"/>
          <w:szCs w:val="20"/>
          <w:color w:val="auto"/>
        </w:rPr>
      </w:pPr>
    </w:p>
    <w:p>
      <w:pPr>
        <w:ind w:left="1720" w:right="160" w:hanging="326"/>
        <w:spacing w:after="0" w:line="246" w:lineRule="auto"/>
        <w:tabs>
          <w:tab w:leader="none" w:pos="170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cybersecurity incident, such as a data breach, or any other significant disruption in TTC’s operations or loss, potential loss, breach or unauthorized access of its property or assets, whether at its facilities or through its information technology infrastructure;</w:t>
      </w:r>
    </w:p>
    <w:p>
      <w:pPr>
        <w:spacing w:after="0" w:line="1" w:lineRule="exact"/>
        <w:rPr>
          <w:rFonts w:ascii="Times New Roman" w:cs="Times New Roman" w:eastAsia="Times New Roman" w:hAnsi="Times New Roman"/>
          <w:sz w:val="20"/>
          <w:szCs w:val="20"/>
          <w:color w:val="auto"/>
        </w:rPr>
      </w:pPr>
    </w:p>
    <w:p>
      <w:pPr>
        <w:ind w:left="1720" w:hanging="326"/>
        <w:spacing w:after="0" w:line="250" w:lineRule="auto"/>
        <w:tabs>
          <w:tab w:leader="none" w:pos="170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an event-specific restriction on trading in TTC securities or the securities of another company or the extension or termination of such restriction; or</w:t>
      </w: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Delisting of TTC’s securities from an exchange.</w:t>
      </w:r>
    </w:p>
    <w:p>
      <w:pPr>
        <w:spacing w:after="0" w:line="234"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above list is illustrative only, and other types of information may be considered “material” depending on the circumstances. Because transactions in securities that receive scrutiny are evaluated</w:t>
      </w:r>
    </w:p>
    <w:p>
      <w:pPr>
        <w:sectPr>
          <w:pgSz w:w="11900" w:h="16838" w:orient="portrait"/>
          <w:cols w:equalWidth="0" w:num="1">
            <w:col w:w="11100"/>
          </w:cols>
          <w:pgMar w:left="320" w:top="1409" w:right="479" w:bottom="1440" w:gutter="0" w:footer="0" w:header="0"/>
        </w:sectPr>
      </w:pPr>
    </w:p>
    <w:bookmarkStart w:id="106" w:name="page107"/>
    <w:bookmarkEnd w:id="106"/>
    <w:p>
      <w:pPr>
        <w:ind w:right="240"/>
        <w:spacing w:after="0" w:line="269" w:lineRule="auto"/>
        <w:rPr>
          <w:sz w:val="20"/>
          <w:szCs w:val="20"/>
          <w:color w:val="auto"/>
        </w:rPr>
      </w:pPr>
      <w:r>
        <w:rPr>
          <w:rFonts w:ascii="Times New Roman" w:cs="Times New Roman" w:eastAsia="Times New Roman" w:hAnsi="Times New Roman"/>
          <w:sz w:val="20"/>
          <w:szCs w:val="20"/>
          <w:color w:val="auto"/>
        </w:rPr>
        <w:t>after the fact with the benefit of hindsight, questions concerning the materiality of particular information should be resolved in favor of a determination of materiality and trading should be avoided.</w:t>
      </w:r>
    </w:p>
    <w:p>
      <w:pPr>
        <w:spacing w:after="0" w:line="196" w:lineRule="exact"/>
        <w:rPr>
          <w:sz w:val="20"/>
          <w:szCs w:val="20"/>
          <w:color w:val="auto"/>
        </w:rPr>
      </w:pPr>
    </w:p>
    <w:p>
      <w:pPr>
        <w:ind w:left="740" w:hanging="318"/>
        <w:spacing w:after="0" w:line="265" w:lineRule="auto"/>
        <w:tabs>
          <w:tab w:leader="none" w:pos="732"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u w:val="single" w:color="auto"/>
          <w:color w:val="auto"/>
        </w:rPr>
        <w:t>What is “non-public information”?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Information is non-public if it has not been made generally available to the public by means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press release, filing with the Securities and Exchange Commission (the “SEC”), publication in a widely-available newspaper, magazine or news website, disclosure on the company’s website or through a social media platform, webcast or other oral disclosure that was previously announced and open to the public, or other means of widespread distribution. Information would likely not be considered widely disseminated if it is available only to a company’s employees, or if it is only available to a select group of analysts, brokers and institutional investors. Information that is received under circumstances that indicate the information is not yet in general circulation should be assumed to be non-public. Information is not considered to be adequately known to the public immediately upon public disclosure, but is deemed to be public information only after there is adequate time for the news to be circulated and absorbed by the market and investors. As a general rule, TTC considers information non-public until the start of trading on the third business day after public disclosure (with the day of such disclosure counted as the first day).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Trading Restrictions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procedures apply to all persons and related parties covered under this Policy.</w:t>
      </w:r>
    </w:p>
    <w:p>
      <w:pPr>
        <w:spacing w:after="0" w:line="252" w:lineRule="exact"/>
        <w:rPr>
          <w:sz w:val="20"/>
          <w:szCs w:val="20"/>
          <w:color w:val="auto"/>
        </w:rPr>
      </w:pPr>
    </w:p>
    <w:p>
      <w:pPr>
        <w:ind w:left="740" w:right="100" w:hanging="318"/>
        <w:spacing w:after="0" w:line="254" w:lineRule="auto"/>
        <w:tabs>
          <w:tab w:leader="none" w:pos="73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Do not engage in transactions in TTC securities when you are aware of material non- public information</w:t>
      </w:r>
      <w:r>
        <w:rPr>
          <w:rFonts w:ascii="Times New Roman" w:cs="Times New Roman" w:eastAsia="Times New Roman" w:hAnsi="Times New Roman"/>
          <w:sz w:val="20"/>
          <w:szCs w:val="20"/>
          <w:color w:val="auto"/>
        </w:rPr>
        <w:t>. You may not engage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transaction in TTC securities when you are aware of material non-public information regarding TTC, including any purchase or sale or offer to purchase or sell TTC securities or any disposition in the form of a gift of any TTC securities. In addition, you may not engage in any other action to take advantage of, or pass on to others, such information. This prohibition applies to both private transactions as well as transactions that are made on the New York Stock Exchange.</w:t>
      </w:r>
    </w:p>
    <w:p>
      <w:pPr>
        <w:spacing w:after="0" w:line="214" w:lineRule="exact"/>
        <w:rPr>
          <w:rFonts w:ascii="Times New Roman" w:cs="Times New Roman" w:eastAsia="Times New Roman" w:hAnsi="Times New Roman"/>
          <w:sz w:val="20"/>
          <w:szCs w:val="20"/>
          <w:color w:val="auto"/>
        </w:rPr>
      </w:pPr>
    </w:p>
    <w:p>
      <w:pPr>
        <w:ind w:left="740" w:right="180" w:hanging="318"/>
        <w:spacing w:after="0" w:line="252" w:lineRule="auto"/>
        <w:tabs>
          <w:tab w:leader="none" w:pos="73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Do not “tip” information to others.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It is illegal for a person when he or she is aware of material non-public information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 others with such information or to recommend that they buy or sell securities, even if the person does not give the other person the specific information. Such “tipping” can result in punishment of both the “tipper” and “tippee,” whether or not the tipper derived any benefit from the tippee’s actions. Accordingly, do not share non-public information about TTC (or companies with whom TTC does business) with anyone outside of TTC (except TTC’s legal counsel, accountants, or other advisors, as appropriate), regardless of whether you think such information is material. In addition, do not share any such information with other TTC employees, except as required in the performance of your duties or services to TTC. Finally, do not recommend to others the purchase or sale of TTC securities when you are aware of material non-public information.</w:t>
      </w:r>
    </w:p>
    <w:p>
      <w:pPr>
        <w:spacing w:after="0" w:line="214" w:lineRule="exact"/>
        <w:rPr>
          <w:rFonts w:ascii="Times New Roman" w:cs="Times New Roman" w:eastAsia="Times New Roman" w:hAnsi="Times New Roman"/>
          <w:sz w:val="20"/>
          <w:szCs w:val="20"/>
          <w:color w:val="auto"/>
        </w:rPr>
      </w:pPr>
    </w:p>
    <w:p>
      <w:pPr>
        <w:jc w:val="both"/>
        <w:ind w:left="740" w:right="780" w:hanging="318"/>
        <w:spacing w:after="0" w:line="283" w:lineRule="auto"/>
        <w:tabs>
          <w:tab w:leader="none" w:pos="73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u w:val="single" w:color="auto"/>
          <w:color w:val="auto"/>
        </w:rPr>
        <w:t>TTC plans</w:t>
      </w:r>
      <w:r>
        <w:rPr>
          <w:rFonts w:ascii="Times New Roman" w:cs="Times New Roman" w:eastAsia="Times New Roman" w:hAnsi="Times New Roman"/>
          <w:sz w:val="19"/>
          <w:szCs w:val="19"/>
          <w:color w:val="auto"/>
        </w:rPr>
        <w:t>. This Policy applies to transactions under TTC plans such as The Toro Company Retirement Plan (commonly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referred to as the “401(k) plan” or referred to herein as the “TTC Retirement Plan”), including the transactions identified below. Restricted Persons are subject to additional restrictions reflected in the Addendum to this Policy.</w:t>
      </w:r>
    </w:p>
    <w:p>
      <w:pPr>
        <w:spacing w:after="0" w:line="185" w:lineRule="exact"/>
        <w:rPr>
          <w:rFonts w:ascii="Times New Roman" w:cs="Times New Roman" w:eastAsia="Times New Roman" w:hAnsi="Times New Roman"/>
          <w:sz w:val="19"/>
          <w:szCs w:val="19"/>
          <w:color w:val="auto"/>
        </w:rPr>
      </w:pPr>
    </w:p>
    <w:p>
      <w:pPr>
        <w:ind w:left="1720" w:right="120" w:hanging="326"/>
        <w:spacing w:after="0" w:line="263" w:lineRule="auto"/>
        <w:tabs>
          <w:tab w:leader="none" w:pos="170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TTC Retirement Plan transactions: </w:t>
      </w:r>
      <w:r>
        <w:rPr>
          <w:rFonts w:ascii="Times New Roman" w:cs="Times New Roman" w:eastAsia="Times New Roman" w:hAnsi="Times New Roman"/>
          <w:sz w:val="20"/>
          <w:szCs w:val="20"/>
          <w:color w:val="auto"/>
        </w:rPr>
        <w:t>This Policy applies to certain elections you may make under the TTC Retirement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 and similar TTC plans involving TTC common stock, including elections to (1) change the percentage of your periodic contributions that will be allocated to the TTC common stock fund or (2) make a</w:t>
      </w:r>
    </w:p>
    <w:p>
      <w:pPr>
        <w:sectPr>
          <w:pgSz w:w="11900" w:h="16838" w:orient="portrait"/>
          <w:cols w:equalWidth="0" w:num="1">
            <w:col w:w="11080"/>
          </w:cols>
          <w:pgMar w:left="320" w:top="1170" w:right="499" w:bottom="1440" w:gutter="0" w:footer="0" w:header="0"/>
        </w:sectPr>
      </w:pPr>
    </w:p>
    <w:bookmarkStart w:id="107" w:name="page108"/>
    <w:bookmarkEnd w:id="107"/>
    <w:p>
      <w:pPr>
        <w:ind w:left="1298"/>
        <w:spacing w:after="0" w:line="258" w:lineRule="auto"/>
        <w:rPr>
          <w:sz w:val="20"/>
          <w:szCs w:val="20"/>
          <w:color w:val="auto"/>
        </w:rPr>
      </w:pPr>
      <w:r>
        <w:rPr>
          <w:rFonts w:ascii="Times New Roman" w:cs="Times New Roman" w:eastAsia="Times New Roman" w:hAnsi="Times New Roman"/>
          <w:sz w:val="20"/>
          <w:szCs w:val="20"/>
          <w:color w:val="auto"/>
        </w:rPr>
        <w:t>transfer of an existing account balance to or from the TTC common stock fund. However, the regular purchase of TTC securities through your participation in the TTC Retirement Plan is not subject to this Policy, provided the purchase results from your periodic plan contributions using the payroll deduction election that was made when you were not aware of material non-public information.</w:t>
      </w:r>
    </w:p>
    <w:p>
      <w:pPr>
        <w:spacing w:after="0" w:line="195" w:lineRule="exact"/>
        <w:rPr>
          <w:sz w:val="20"/>
          <w:szCs w:val="20"/>
          <w:color w:val="auto"/>
        </w:rPr>
      </w:pPr>
    </w:p>
    <w:p>
      <w:pPr>
        <w:ind w:left="1298" w:right="60" w:hanging="326"/>
        <w:spacing w:after="0" w:line="252" w:lineRule="auto"/>
        <w:tabs>
          <w:tab w:leader="none" w:pos="1286"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Stock option exercises that involve open market sales of TTC securities</w:t>
      </w:r>
      <w:r>
        <w:rPr>
          <w:rFonts w:ascii="Times New Roman" w:cs="Times New Roman" w:eastAsia="Times New Roman" w:hAnsi="Times New Roman"/>
          <w:sz w:val="20"/>
          <w:szCs w:val="20"/>
          <w:color w:val="auto"/>
        </w:rPr>
        <w:t>: A broker-assisted cashless exercise of TTC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options, pursuant to which you have directed your broker to sell in the open market a sufficient number of the underlying shares of TTC common stock to pay the exercise price of the option and/or satisfy your related tax withholding obligations, is subject to this Policy. In addition, open market sales of shares of TTC common stock received upon the exercise of TTC stock options are subject to this Policy. However, a cash exercise of TTC stock options and a cashless “net exercise” of TTC stock options, pursuant to which you have elected to have TTC withhold a sufficient number of the underlying shares of TTC common stock to pay the exercise price of the option and/or satisfy your related tax withholding obligations, is not subject to this Policy.</w:t>
      </w:r>
    </w:p>
    <w:p>
      <w:pPr>
        <w:spacing w:after="0" w:line="214" w:lineRule="exact"/>
        <w:rPr>
          <w:rFonts w:ascii="Times New Roman" w:cs="Times New Roman" w:eastAsia="Times New Roman" w:hAnsi="Times New Roman"/>
          <w:sz w:val="20"/>
          <w:szCs w:val="20"/>
          <w:color w:val="auto"/>
        </w:rPr>
      </w:pPr>
    </w:p>
    <w:p>
      <w:pPr>
        <w:ind w:left="1298" w:right="160" w:hanging="326"/>
        <w:spacing w:after="0" w:line="252" w:lineRule="auto"/>
        <w:tabs>
          <w:tab w:leader="none" w:pos="1286"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Sale of stock after the vesting of awards issued under TTC plans or for purposes of satisfying related tax withholding obligations in connection with such vesting: </w:t>
      </w:r>
      <w:r>
        <w:rPr>
          <w:rFonts w:ascii="Times New Roman" w:cs="Times New Roman" w:eastAsia="Times New Roman" w:hAnsi="Times New Roman"/>
          <w:sz w:val="20"/>
          <w:szCs w:val="20"/>
          <w:color w:val="auto"/>
        </w:rPr>
        <w:t>While the vesting of restricted stock, restricted stock units,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share awards is not subject to this Policy, provided such vesting is pursuant to the vesting schedule determined at the time of grant, the sale of TTC common stock received upon vesting is subject to this Policy. In addition, the exercise of a tax withholding right, pursuant to which you elect to have TTC withhold some of the underlying shares of TTC common stock to satisfy tax withholding requirements upon vesting of such awards, is not subject to this Policy; however, the sale of TTC common stock by you in the open market or otherwise to cover tax withholding obligations is subject to this Policy.</w:t>
      </w:r>
    </w:p>
    <w:p>
      <w:pPr>
        <w:spacing w:after="0" w:line="214" w:lineRule="exact"/>
        <w:rPr>
          <w:rFonts w:ascii="Times New Roman" w:cs="Times New Roman" w:eastAsia="Times New Roman" w:hAnsi="Times New Roman"/>
          <w:sz w:val="20"/>
          <w:szCs w:val="20"/>
          <w:color w:val="auto"/>
        </w:rPr>
      </w:pPr>
    </w:p>
    <w:p>
      <w:pPr>
        <w:ind w:left="1298" w:right="140" w:hanging="326"/>
        <w:spacing w:after="0" w:line="265" w:lineRule="auto"/>
        <w:tabs>
          <w:tab w:leader="none" w:pos="1286"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Dividend reinvestments: </w:t>
      </w:r>
      <w:r>
        <w:rPr>
          <w:rFonts w:ascii="Times New Roman" w:cs="Times New Roman" w:eastAsia="Times New Roman" w:hAnsi="Times New Roman"/>
          <w:sz w:val="19"/>
          <w:szCs w:val="19"/>
          <w:color w:val="auto"/>
        </w:rPr>
        <w:t>The acquisition of shares of TTC common stock under TTC’s dividend reinvestment plan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dividend reinvestment features of plans maintained by TTC are generally not subject to this Policy; however, (1) voluntary purchases of TTC securities resulting from additional contributions you make pursuant to the dividend reinvestment plan, your election to participate in TTC’s dividend reinvestment plan or the dividend reinvestment features of TTC plans, or elections to increase your level of participation in such plans, are subject to this Policy and</w:t>
      </w:r>
    </w:p>
    <w:p>
      <w:pPr>
        <w:spacing w:after="0" w:line="1" w:lineRule="exact"/>
        <w:rPr>
          <w:rFonts w:ascii="Times New Roman" w:cs="Times New Roman" w:eastAsia="Times New Roman" w:hAnsi="Times New Roman"/>
          <w:sz w:val="19"/>
          <w:szCs w:val="19"/>
          <w:color w:val="auto"/>
        </w:rPr>
      </w:pPr>
    </w:p>
    <w:p>
      <w:pPr>
        <w:ind w:left="1298" w:right="24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 sales or other transactions involving any TTC securities purchased pursuant to such plans are also subject to this Policy.</w:t>
      </w:r>
    </w:p>
    <w:p>
      <w:pPr>
        <w:spacing w:after="0" w:line="211" w:lineRule="exact"/>
        <w:rPr>
          <w:rFonts w:ascii="Times New Roman" w:cs="Times New Roman" w:eastAsia="Times New Roman" w:hAnsi="Times New Roman"/>
          <w:sz w:val="19"/>
          <w:szCs w:val="19"/>
          <w:color w:val="auto"/>
        </w:rPr>
      </w:pPr>
    </w:p>
    <w:p>
      <w:pPr>
        <w:ind w:left="318" w:right="160" w:hanging="318"/>
        <w:spacing w:after="0" w:line="254" w:lineRule="auto"/>
        <w:tabs>
          <w:tab w:leader="none" w:pos="30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Avoid speculation and other practices that may appear to be based on material non- public information</w:t>
      </w:r>
      <w:r>
        <w:rPr>
          <w:rFonts w:ascii="Times New Roman" w:cs="Times New Roman" w:eastAsia="Times New Roman" w:hAnsi="Times New Roman"/>
          <w:sz w:val="20"/>
          <w:szCs w:val="20"/>
          <w:color w:val="auto"/>
        </w:rPr>
        <w:t>. Purchases of TTC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generally should be made as a long- term rather than a short-term investment. TTC considers it inappropriate for any person subject to this Policy to engage in speculative transactions in TTC securities or other transactions which might give the appearance of impropriety. In addition, TTC discourages any person subject to this Policy from engaging in frequent trading in TTC securities because such trading also may give the appearance that such trades were timed to take advantage of material non-public information. This Policy either prohibits or limits the following types of transactions:</w:t>
      </w:r>
    </w:p>
    <w:p>
      <w:pPr>
        <w:sectPr>
          <w:pgSz w:w="11900" w:h="16838" w:orient="portrait"/>
          <w:cols w:equalWidth="0" w:num="1">
            <w:col w:w="10698"/>
          </w:cols>
          <w:pgMar w:left="742" w:top="1170" w:right="459" w:bottom="1440" w:gutter="0" w:footer="0" w:header="0"/>
        </w:sectPr>
      </w:pPr>
    </w:p>
    <w:bookmarkStart w:id="108" w:name="page109"/>
    <w:bookmarkEnd w:id="108"/>
    <w:p>
      <w:pPr>
        <w:ind w:left="1298" w:right="180" w:hanging="326"/>
        <w:spacing w:after="0" w:line="254" w:lineRule="auto"/>
        <w:tabs>
          <w:tab w:leader="none" w:pos="128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242021"/>
        </w:rPr>
        <w:t>Short-Term Trading</w:t>
      </w:r>
      <w:r>
        <w:rPr>
          <w:rFonts w:ascii="Times New Roman" w:cs="Times New Roman" w:eastAsia="Times New Roman" w:hAnsi="Times New Roman"/>
          <w:sz w:val="20"/>
          <w:szCs w:val="20"/>
          <w:color w:val="242021"/>
        </w:rPr>
        <w:t>. Short-term trading of TTC securities may be distracting to the person and may unduly focus</w:t>
      </w:r>
      <w:r>
        <w:rPr>
          <w:rFonts w:ascii="Times New Roman" w:cs="Times New Roman" w:eastAsia="Times New Roman" w:hAnsi="Times New Roman"/>
          <w:sz w:val="20"/>
          <w:szCs w:val="20"/>
          <w:i w:val="1"/>
          <w:iCs w:val="1"/>
          <w:color w:val="242021"/>
        </w:rPr>
        <w:t xml:space="preserve"> </w:t>
      </w:r>
      <w:r>
        <w:rPr>
          <w:rFonts w:ascii="Times New Roman" w:cs="Times New Roman" w:eastAsia="Times New Roman" w:hAnsi="Times New Roman"/>
          <w:sz w:val="20"/>
          <w:szCs w:val="20"/>
          <w:color w:val="242021"/>
        </w:rPr>
        <w:t>the person on the TTC’s short-term stock market performance instead of TTC’s long-term business objectives. For these reasons, any Director, Officer, or other person subject to this Policy who purchases TTC securities in the open market may not sell any TTC securities of the same class during the six months following the purchase (or vice versa).</w:t>
      </w:r>
    </w:p>
    <w:p>
      <w:pPr>
        <w:spacing w:after="0" w:line="214" w:lineRule="exact"/>
        <w:rPr>
          <w:rFonts w:ascii="Times New Roman" w:cs="Times New Roman" w:eastAsia="Times New Roman" w:hAnsi="Times New Roman"/>
          <w:sz w:val="20"/>
          <w:szCs w:val="20"/>
          <w:color w:val="auto"/>
        </w:rPr>
      </w:pPr>
    </w:p>
    <w:p>
      <w:pPr>
        <w:ind w:left="1298" w:right="160" w:hanging="326"/>
        <w:spacing w:after="0" w:line="254" w:lineRule="auto"/>
        <w:tabs>
          <w:tab w:leader="none" w:pos="128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Short sales</w:t>
      </w:r>
      <w:r>
        <w:rPr>
          <w:rFonts w:ascii="Times New Roman" w:cs="Times New Roman" w:eastAsia="Times New Roman" w:hAnsi="Times New Roman"/>
          <w:sz w:val="20"/>
          <w:szCs w:val="20"/>
          <w:color w:val="auto"/>
        </w:rPr>
        <w:t>. Short sales of stock are transactions where you borrow stock, sell it, and then buy stock at a later date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replace the borrowed shares. Short sales are intended to reward you for downward changes in price, and as such, short sales may appear to have resulted from the possession of material non-public information. In addition, Section 16(c) of the Exchange Act prohibits Directors and Officers from engaging in short sales. You may not engage in short sales of TTC securities.</w:t>
      </w:r>
    </w:p>
    <w:p>
      <w:pPr>
        <w:spacing w:after="0" w:line="214" w:lineRule="exact"/>
        <w:rPr>
          <w:rFonts w:ascii="Times New Roman" w:cs="Times New Roman" w:eastAsia="Times New Roman" w:hAnsi="Times New Roman"/>
          <w:sz w:val="20"/>
          <w:szCs w:val="20"/>
          <w:color w:val="auto"/>
        </w:rPr>
      </w:pPr>
    </w:p>
    <w:p>
      <w:pPr>
        <w:ind w:left="1298" w:right="80" w:hanging="326"/>
        <w:spacing w:after="0" w:line="255" w:lineRule="auto"/>
        <w:tabs>
          <w:tab w:leader="none" w:pos="128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Publicly-traded options</w:t>
      </w:r>
      <w:r>
        <w:rPr>
          <w:rFonts w:ascii="Times New Roman" w:cs="Times New Roman" w:eastAsia="Times New Roman" w:hAnsi="Times New Roman"/>
          <w:sz w:val="20"/>
          <w:szCs w:val="20"/>
          <w:color w:val="auto"/>
        </w:rPr>
        <w:t>. Given the relatively short terms of publicly-traded options, transactions in such options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create the appearance that such transactions have resulted from possession of material non-public information. Accordingly, you may not engage in transactions in put options, call options, or other derivative securities involving TTC stock, whether on an exchange or otherwise.</w:t>
      </w:r>
    </w:p>
    <w:p>
      <w:pPr>
        <w:spacing w:after="0" w:line="210" w:lineRule="exact"/>
        <w:rPr>
          <w:rFonts w:ascii="Times New Roman" w:cs="Times New Roman" w:eastAsia="Times New Roman" w:hAnsi="Times New Roman"/>
          <w:sz w:val="20"/>
          <w:szCs w:val="20"/>
          <w:color w:val="auto"/>
        </w:rPr>
      </w:pPr>
    </w:p>
    <w:p>
      <w:pPr>
        <w:ind w:left="1298" w:right="180" w:hanging="326"/>
        <w:spacing w:after="0" w:line="255" w:lineRule="auto"/>
        <w:tabs>
          <w:tab w:leader="none" w:pos="128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Hedging transactions.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Hedging transactions, such as collars, equity swaps, prepaid variable forwards, and exchange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funds, are designed to hedge or offset any decrease in the market value of securities. When that occurs, the owner may no longer have the same objectives as other security holders.</w:t>
      </w:r>
    </w:p>
    <w:p>
      <w:pPr>
        <w:spacing w:after="0" w:line="1" w:lineRule="exact"/>
        <w:rPr>
          <w:rFonts w:ascii="Times New Roman" w:cs="Times New Roman" w:eastAsia="Times New Roman" w:hAnsi="Times New Roman"/>
          <w:sz w:val="20"/>
          <w:szCs w:val="20"/>
          <w:color w:val="auto"/>
        </w:rPr>
      </w:pPr>
    </w:p>
    <w:p>
      <w:pPr>
        <w:ind w:left="129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Therefore, you may not engage in any hedging transactions involving TTC securities.</w:t>
      </w:r>
    </w:p>
    <w:p>
      <w:pPr>
        <w:spacing w:after="0" w:line="223" w:lineRule="exact"/>
        <w:rPr>
          <w:rFonts w:ascii="Times New Roman" w:cs="Times New Roman" w:eastAsia="Times New Roman" w:hAnsi="Times New Roman"/>
          <w:sz w:val="20"/>
          <w:szCs w:val="20"/>
          <w:color w:val="auto"/>
        </w:rPr>
      </w:pPr>
    </w:p>
    <w:p>
      <w:pPr>
        <w:ind w:left="1298" w:right="2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Margin Accounts and Pledged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held in a margin account as collateral for a margin loan may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TTC securities, Directors, Officers </w:t>
      </w:r>
      <w:r>
        <w:rPr>
          <w:rFonts w:ascii="Times New Roman" w:cs="Times New Roman" w:eastAsia="Times New Roman" w:hAnsi="Times New Roman"/>
          <w:sz w:val="20"/>
          <w:szCs w:val="20"/>
          <w:color w:val="242021"/>
        </w:rPr>
        <w:t>and any other person subject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42021"/>
        </w:rPr>
        <w:t xml:space="preserve">to this Policy </w:t>
      </w:r>
      <w:r>
        <w:rPr>
          <w:rFonts w:ascii="Times New Roman" w:cs="Times New Roman" w:eastAsia="Times New Roman" w:hAnsi="Times New Roman"/>
          <w:sz w:val="20"/>
          <w:szCs w:val="20"/>
          <w:color w:val="000000"/>
        </w:rPr>
        <w:t>are prohibited from holding TTC securities in a margin account or otherwise pledging TTC securities as</w:t>
      </w:r>
      <w:r>
        <w:rPr>
          <w:rFonts w:ascii="Times New Roman" w:cs="Times New Roman" w:eastAsia="Times New Roman" w:hAnsi="Times New Roman"/>
          <w:sz w:val="20"/>
          <w:szCs w:val="20"/>
          <w:color w:val="242021"/>
        </w:rPr>
        <w:t xml:space="preserve"> </w:t>
      </w:r>
      <w:r>
        <w:rPr>
          <w:rFonts w:ascii="Times New Roman" w:cs="Times New Roman" w:eastAsia="Times New Roman" w:hAnsi="Times New Roman"/>
          <w:sz w:val="20"/>
          <w:szCs w:val="20"/>
          <w:color w:val="000000"/>
        </w:rPr>
        <w:t>collateral for a loan.</w:t>
      </w:r>
    </w:p>
    <w:p>
      <w:pPr>
        <w:spacing w:after="0" w:line="213" w:lineRule="exact"/>
        <w:rPr>
          <w:rFonts w:ascii="Times New Roman" w:cs="Times New Roman" w:eastAsia="Times New Roman" w:hAnsi="Times New Roman"/>
          <w:sz w:val="20"/>
          <w:szCs w:val="20"/>
          <w:color w:val="auto"/>
        </w:rPr>
      </w:pPr>
    </w:p>
    <w:p>
      <w:pPr>
        <w:ind w:left="1298" w:right="220" w:hanging="326"/>
        <w:spacing w:after="0" w:line="254" w:lineRule="auto"/>
        <w:tabs>
          <w:tab w:leader="none" w:pos="128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Standing and limit orders.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Standing and limit orders are orders placed with a broker to sell or purchase stock at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specified price. Because there is no control over the timing of purchases or sales that result from standing instructions to a broker, a transaction could be executed when the shareholder is aware of material non-public information. If you use a standing order or limit order, the order should be limited in duration and should otherwise comply with the trading requirements outlined in this Policy.</w:t>
      </w:r>
    </w:p>
    <w:p>
      <w:pPr>
        <w:spacing w:after="0" w:line="214" w:lineRule="exact"/>
        <w:rPr>
          <w:rFonts w:ascii="Times New Roman" w:cs="Times New Roman" w:eastAsia="Times New Roman" w:hAnsi="Times New Roman"/>
          <w:sz w:val="20"/>
          <w:szCs w:val="20"/>
          <w:color w:val="auto"/>
        </w:rPr>
      </w:pPr>
    </w:p>
    <w:p>
      <w:pPr>
        <w:ind w:left="318" w:hanging="318"/>
        <w:spacing w:after="0" w:line="263" w:lineRule="auto"/>
        <w:tabs>
          <w:tab w:leader="none" w:pos="31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You may adopt a Rule 10b5-1 plan in accordance with this Policy</w:t>
      </w:r>
      <w:r>
        <w:rPr>
          <w:rFonts w:ascii="Times New Roman" w:cs="Times New Roman" w:eastAsia="Times New Roman" w:hAnsi="Times New Roman"/>
          <w:sz w:val="20"/>
          <w:szCs w:val="20"/>
          <w:color w:val="auto"/>
        </w:rPr>
        <w:t>. The trading requirements set forth in this Policy do not apply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transactions in TTC securities pursuant to a previously approved Rule 10b5-1 plan. If you wish to implement a Rule 10b5-1 plan, you must submit the Rule 10b5-1 plan for pre-clearance to TTC’s General Counsel a reasonable period of time prior</w:t>
      </w:r>
    </w:p>
    <w:p>
      <w:pPr>
        <w:sectPr>
          <w:pgSz w:w="11900" w:h="16838" w:orient="portrait"/>
          <w:cols w:equalWidth="0" w:num="1">
            <w:col w:w="10638"/>
          </w:cols>
          <w:pgMar w:left="742" w:top="1166" w:right="519" w:bottom="1440" w:gutter="0" w:footer="0" w:header="0"/>
        </w:sectPr>
      </w:pPr>
    </w:p>
    <w:bookmarkStart w:id="109" w:name="page110"/>
    <w:bookmarkEnd w:id="109"/>
    <w:p>
      <w:pPr>
        <w:ind w:left="740" w:right="40"/>
        <w:spacing w:after="0" w:line="266" w:lineRule="auto"/>
        <w:rPr>
          <w:sz w:val="20"/>
          <w:szCs w:val="20"/>
          <w:color w:val="auto"/>
        </w:rPr>
      </w:pPr>
      <w:r>
        <w:rPr>
          <w:rFonts w:ascii="Times New Roman" w:cs="Times New Roman" w:eastAsia="Times New Roman" w:hAnsi="Times New Roman"/>
          <w:sz w:val="19"/>
          <w:szCs w:val="19"/>
          <w:color w:val="auto"/>
        </w:rPr>
        <w:t>to when you wish to commence transactions in TTC securities (no less than five days) under the Rule 10b5-1 plan. Further, you can only enter into or modify a Rule 10b5-1 plan at a time when you are not aware of material non-public information. The Rule 10b5-1 plan must specify dates, prices, and amounts of planned trades, or establish a formula for determining the dates, prices, and amounts. You must not have any ability to contemporaneously control the execution of transactions under the Rule 10b5-1 plan, and such transactions must be initiated by a third party. Once a Rule 10b5- 1 plan is adopted, you must not exercise any influence over the timing or amount of TTC securities subject to the Rule 10b5-1 plan, provided that you may terminate a Rule 10b5- 1 plan at any time. Restricted Persons are subject to additional restrictions that are reflected in the Addendum to this Policy.</w:t>
      </w:r>
    </w:p>
    <w:p>
      <w:pPr>
        <w:spacing w:after="0" w:line="204" w:lineRule="exact"/>
        <w:rPr>
          <w:sz w:val="20"/>
          <w:szCs w:val="20"/>
          <w:color w:val="auto"/>
        </w:rPr>
      </w:pPr>
    </w:p>
    <w:p>
      <w:pPr>
        <w:jc w:val="both"/>
        <w:ind w:left="740" w:right="80" w:hanging="318"/>
        <w:spacing w:after="0" w:line="283" w:lineRule="auto"/>
        <w:tabs>
          <w:tab w:leader="none" w:pos="722"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u w:val="single" w:color="auto"/>
          <w:color w:val="auto"/>
        </w:rPr>
        <w:t>You are responsible for transactions by your related parties.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This Policy applies to your related parties. Accordingly, all references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“you” in this Policy also apply to your related parties. Since you are responsible for the compliance of your related parties with this Policy, you should make them aware of the need to confer with you prior to engaging in any transaction in TTC securities.</w:t>
      </w:r>
    </w:p>
    <w:p>
      <w:pPr>
        <w:spacing w:after="0" w:line="185" w:lineRule="exact"/>
        <w:rPr>
          <w:rFonts w:ascii="Times New Roman" w:cs="Times New Roman" w:eastAsia="Times New Roman" w:hAnsi="Times New Roman"/>
          <w:sz w:val="19"/>
          <w:szCs w:val="19"/>
          <w:color w:val="auto"/>
        </w:rPr>
      </w:pPr>
    </w:p>
    <w:p>
      <w:pPr>
        <w:ind w:left="740" w:right="60" w:hanging="318"/>
        <w:spacing w:after="0" w:line="252" w:lineRule="auto"/>
        <w:tabs>
          <w:tab w:leader="none" w:pos="73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This Policy also applies to trading in other securities</w:t>
      </w:r>
      <w:r>
        <w:rPr>
          <w:rFonts w:ascii="Times New Roman" w:cs="Times New Roman" w:eastAsia="Times New Roman" w:hAnsi="Times New Roman"/>
          <w:sz w:val="20"/>
          <w:szCs w:val="20"/>
          <w:color w:val="auto"/>
        </w:rPr>
        <w:t>. In the course of your business relationships on behalf of TTC with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companies, such as with our customers, competitors, suppliers or other partners, you may receive significant non-public information regarding such other companies. In addition, you may have information with respect to any company with which TTC may be discussing a major transaction, such as an acquisition, joint venture, alliance, or investment. Information that may not be material to TTC may nevertheless be material to such other company. This Policy applies to and prohibits trading in securities of these other companies when you are aware of material non-public information related to these other companies. In addition, this Policy prohibits tipping material non-public information about these other companies to others.</w:t>
      </w:r>
    </w:p>
    <w:p>
      <w:pPr>
        <w:spacing w:after="0" w:line="213" w:lineRule="exact"/>
        <w:rPr>
          <w:rFonts w:ascii="Times New Roman" w:cs="Times New Roman" w:eastAsia="Times New Roman" w:hAnsi="Times New Roman"/>
          <w:sz w:val="20"/>
          <w:szCs w:val="20"/>
          <w:color w:val="auto"/>
        </w:rPr>
      </w:pPr>
    </w:p>
    <w:p>
      <w:pPr>
        <w:ind w:left="740" w:right="180" w:hanging="318"/>
        <w:spacing w:after="0" w:line="254" w:lineRule="auto"/>
        <w:tabs>
          <w:tab w:leader="none" w:pos="73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Your transactions will be evaluated with the benefit of hindsight</w:t>
      </w:r>
      <w:r>
        <w:rPr>
          <w:rFonts w:ascii="Times New Roman" w:cs="Times New Roman" w:eastAsia="Times New Roman" w:hAnsi="Times New Roman"/>
          <w:sz w:val="20"/>
          <w:szCs w:val="20"/>
          <w:color w:val="auto"/>
        </w:rPr>
        <w:t>. If your securities transactions become the subject of scrutiny,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they will be viewed after the fact with the benefit of hindsight. As a result, before engaging in any transaction, you should carefully consider how the transaction may be construed by others. This is particularly true where you may have non-public information that you do not consider to be material at the time of your transaction, but which others may later find to have in fact been material.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Post-Termination Transactions</w:t>
      </w:r>
    </w:p>
    <w:p>
      <w:pPr>
        <w:spacing w:after="0" w:line="2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This Policy continues to apply even after your employment or service relationship with TTC has terminated. If you are aware of material non-public information when your employment or service relationship with TTC ends, you may not engage in transactions in TTC securities or securities of companies in which TTC does business until that information has become public or is no longer material. In addition, if you are a Restricted Person and the company is not in an open window trading period at the time you leave the company, you and your related parties must abide by the applicable trading restrictions until at least the end of the restricted period and the opening of the next open trading window.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Possible Penalties</w:t>
      </w:r>
    </w:p>
    <w:p>
      <w:pPr>
        <w:spacing w:after="0" w:line="2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Even if you were not aware of any material non-public information, if you engage in a transaction in TTC securities or securities, of a company with which TTC does business shortly before the public announcement of an event that affects the market price of such securities, you may attract the attention of the SEC, the New York Stock Exchange, or other regulators. The same is true if such securities</w:t>
      </w:r>
    </w:p>
    <w:p>
      <w:pPr>
        <w:sectPr>
          <w:pgSz w:w="11900" w:h="16838" w:orient="portrait"/>
          <w:cols w:equalWidth="0" w:num="1">
            <w:col w:w="11140"/>
          </w:cols>
          <w:pgMar w:left="320" w:top="1170" w:right="439" w:bottom="1440" w:gutter="0" w:footer="0" w:header="0"/>
        </w:sectPr>
      </w:pPr>
    </w:p>
    <w:bookmarkStart w:id="110" w:name="page111"/>
    <w:bookmarkEnd w:id="110"/>
    <w:p>
      <w:pPr>
        <w:ind w:right="60"/>
        <w:spacing w:after="0" w:line="252" w:lineRule="auto"/>
        <w:rPr>
          <w:sz w:val="20"/>
          <w:szCs w:val="20"/>
          <w:color w:val="auto"/>
        </w:rPr>
      </w:pPr>
      <w:r>
        <w:rPr>
          <w:rFonts w:ascii="Times New Roman" w:cs="Times New Roman" w:eastAsia="Times New Roman" w:hAnsi="Times New Roman"/>
          <w:sz w:val="20"/>
          <w:szCs w:val="20"/>
          <w:color w:val="auto"/>
        </w:rPr>
        <w:t>transaction is undertaken by one of your related parties, your friends or work associates. Defending against such a charge is embarrassing— not to mention difficult, time-consuming and expensive—for both you and TTC. Although it is impossible to assure that your securities transactions will not be completely insulated from scrutiny, it is important that you strive to avoid even an appearance that you might have traded or otherwise engaged in transactions in TTC securities while aware of material non-public information. Individuals who trade on material non-public information, or who “tip” such information to others, may be subject to civil and criminal penalties, including fines and imprisonment, and penalties for trading on or tipping material non-public information can extend significantly beyond any profits made or losses avoided. In addition, TTC will impose appropriate penalties for any violation of this Policy, including ineligibility for future equity or incentive programs, or termination of an individual’s employment or service arrangement with TTC. TTC has full discretion to determine whether this Policy has been violated based on the information available.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Individual Responsibility</w:t>
      </w:r>
    </w:p>
    <w:p>
      <w:pPr>
        <w:spacing w:after="0" w:line="26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Persons subject to this Policy have legal and ethical obligations not to disclose non-public information regarding TTC and not to engage in transactions in TTC securities while aware of material non-public information. Each individual is responsible for making sure that he or she complies with this Policy, and that all related parties subject to this Policy also comply with this Policy. In all cases, the responsibility for determining whether an individual is aware of material non-public information ultimately rests with that individual, and any action on the part of TTC or any Director, Officer or employee of TTC pursuant to this Policy (or otherwise) does not in any way constitute legal advice or insulate you from liability under applicable securities laws. In addition, this Policy is not intended to create or result in the imposition of any liability to TTC that would not exist in the absence of this Policy.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Assistance</w:t>
      </w:r>
    </w:p>
    <w:p>
      <w:pPr>
        <w:spacing w:after="0" w:line="24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color w:val="auto"/>
        </w:rPr>
        <w:t>Any person with questions about specific transactions may obtain additional guidance from TTC’s General Counsel or other lawyers in TTC’s Legal Department that are responsible for compliance with securities laws. However, the ultimate responsibility for adhering to this Policy, and avoiding improper transactions, rests with you.</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w:t>
      </w:r>
    </w:p>
    <w:p>
      <w:pPr>
        <w:spacing w:after="0" w:line="1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If you believe someone is violating this Policy, or otherwise using material non-public information that they learned through their position at TTC to trade or otherwise effect transactions in securities, you should report it to the General Counsel. You may also report via our Ethics Helpline at http://www.thetorocompany.com/ethicshelpline or by telephone in the US: 1-800-850-7247.</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15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0"/>
          <w:szCs w:val="20"/>
          <w:color w:val="auto"/>
        </w:rPr>
        <w:t>The General Counsel is responsible for the administration of this Policy. The General Counsel may designate one or more individuals who may perform the General Counsel’s duties in the event that the General Counsel is unable or unavailable to perform such duties. All determinations and interpretations by the General Counsel shall be final and not subject to further review.</w:t>
      </w:r>
    </w:p>
    <w:p>
      <w:pPr>
        <w:sectPr>
          <w:pgSz w:w="11900" w:h="16838" w:orient="portrait"/>
          <w:cols w:equalWidth="0" w:num="1">
            <w:col w:w="11140"/>
          </w:cols>
          <w:pgMar w:left="320" w:top="1170" w:right="4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ADDENDUM TO THE TORO COMPANY INSIDER TRADING POLICY</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color w:val="auto"/>
        </w:rPr>
        <w:t>If you are a Director, Officer, or an employee designated as an "officer" of TTC for purposes of the reporting and liability provisions of Section 16 of the Securities Exchange Act of 1934, as amended, and the rules and regulations promulgated thereunder (“Section 16 Individuals”) or any other employee designated by the General Counsel (“Restricted Persons”), you and your related parties are subject to additional restrictions and procedures as described in this Addendum:</w:t>
      </w:r>
    </w:p>
    <w:p>
      <w:pPr>
        <w:spacing w:after="0" w:line="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 Open Window Trading Period and Event-Specific Trading Restrictions</w:t>
      </w:r>
    </w:p>
    <w:p>
      <w:pPr>
        <w:spacing w:after="0" w:line="26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Generally, you and your related parties may not engage in any transaction in TTC securities (including open market sales of TTC common stock, broker-assisted cashless stock option exercises, elections or transfers in or out of the TTC common stock fund in the TTC Retirement Plan, transactions in TTC common stock in your Health Savings Account, and gifts of TTC securities) except during an “open window trading period,” regardless of whether you believe you are not aware any material non- public information at that time. Open window trading periods do not supersede the prohibition on trading or engaging in other transactions in TTC securities while you are aware of material non- public information.</w:t>
      </w:r>
    </w:p>
    <w:p>
      <w:pPr>
        <w:spacing w:after="0" w:line="202" w:lineRule="exact"/>
        <w:rPr>
          <w:sz w:val="20"/>
          <w:szCs w:val="20"/>
          <w:color w:val="auto"/>
        </w:rPr>
      </w:pPr>
    </w:p>
    <w:p>
      <w:pPr>
        <w:ind w:left="740" w:right="260" w:hanging="318"/>
        <w:spacing w:after="0" w:line="254" w:lineRule="auto"/>
        <w:tabs>
          <w:tab w:leader="none" w:pos="73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Timing of open window trading period</w:t>
      </w:r>
      <w:r>
        <w:rPr>
          <w:rFonts w:ascii="Times New Roman" w:cs="Times New Roman" w:eastAsia="Times New Roman" w:hAnsi="Times New Roman"/>
          <w:sz w:val="20"/>
          <w:szCs w:val="20"/>
          <w:color w:val="auto"/>
        </w:rPr>
        <w:t>. In general, the open window trading period begins at the start of trading on the third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business day after the public announcement of TTC’s annual or quarterly earnings release (with the day of the public announcement counted as the first day) </w:t>
      </w:r>
      <w:r>
        <w:rPr>
          <w:rFonts w:ascii="Times New Roman" w:cs="Times New Roman" w:eastAsia="Times New Roman" w:hAnsi="Times New Roman"/>
          <w:sz w:val="20"/>
          <w:szCs w:val="20"/>
          <w:u w:val="single" w:color="auto"/>
          <w:color w:val="auto"/>
        </w:rPr>
        <w:t>and ends, for the first fiscal quarter of TTC’s fiscal year,</w:t>
      </w:r>
      <w:r>
        <w:rPr>
          <w:rFonts w:ascii="Times New Roman" w:cs="Times New Roman" w:eastAsia="Times New Roman" w:hAnsi="Times New Roman"/>
          <w:sz w:val="20"/>
          <w:szCs w:val="20"/>
          <w:color w:val="auto"/>
        </w:rPr>
        <w:t xml:space="preserve"> at the close of trading on the tenth business day after January 1st and, </w:t>
      </w:r>
      <w:r>
        <w:rPr>
          <w:rFonts w:ascii="Times New Roman" w:cs="Times New Roman" w:eastAsia="Times New Roman" w:hAnsi="Times New Roman"/>
          <w:sz w:val="20"/>
          <w:szCs w:val="20"/>
          <w:u w:val="single" w:color="auto"/>
          <w:color w:val="auto"/>
        </w:rPr>
        <w:t>for each other fiscal quarter during TTC’s fiscal year</w:t>
      </w:r>
      <w:r>
        <w:rPr>
          <w:rFonts w:ascii="Times New Roman" w:cs="Times New Roman" w:eastAsia="Times New Roman" w:hAnsi="Times New Roman"/>
          <w:sz w:val="20"/>
          <w:szCs w:val="20"/>
          <w:color w:val="auto"/>
        </w:rPr>
        <w:t>, at the close of trading on the last day of the second month of the fiscal quarter. If the date for the beginning or ending of the open window trading period falls on a day when U.S. trading markets are not open, then such period will commence at the applicable time on the next day the markets are open.</w:t>
      </w:r>
    </w:p>
    <w:p>
      <w:pPr>
        <w:spacing w:after="0" w:line="213" w:lineRule="exact"/>
        <w:rPr>
          <w:rFonts w:ascii="Times New Roman" w:cs="Times New Roman" w:eastAsia="Times New Roman" w:hAnsi="Times New Roman"/>
          <w:sz w:val="20"/>
          <w:szCs w:val="20"/>
          <w:color w:val="auto"/>
        </w:rPr>
      </w:pPr>
    </w:p>
    <w:p>
      <w:pPr>
        <w:ind w:left="740" w:right="200" w:hanging="318"/>
        <w:spacing w:after="0" w:line="255" w:lineRule="auto"/>
        <w:tabs>
          <w:tab w:leader="none" w:pos="7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Event-specific trading restrictions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You may be instructed from time to time to refrain from any securities transactions, even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during an open window trading period, because of important developments not yet disclosed to the public or in other unusual circumstances. You must keep the existence of any such event-specific trading restriction confidential. You may also be requested to sign an acknowledgment signifying your awareness of the trading restriction and confidentiality obligation.</w:t>
      </w:r>
    </w:p>
    <w:p>
      <w:pPr>
        <w:spacing w:after="0" w:line="210" w:lineRule="exact"/>
        <w:rPr>
          <w:rFonts w:ascii="Times New Roman" w:cs="Times New Roman" w:eastAsia="Times New Roman" w:hAnsi="Times New Roman"/>
          <w:sz w:val="20"/>
          <w:szCs w:val="20"/>
          <w:color w:val="auto"/>
        </w:rPr>
      </w:pPr>
    </w:p>
    <w:p>
      <w:pPr>
        <w:ind w:left="740" w:right="160" w:hanging="318"/>
        <w:spacing w:after="0" w:line="254" w:lineRule="auto"/>
        <w:tabs>
          <w:tab w:leader="none" w:pos="7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Notification of open window trading periods and event-specific trading restrictions.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General Counsel generally determines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whether to open the trading window or whether to impose an event-specific trading restriction. Therefore, there is no guarantee that a trading window will be opened according to the quarterly schedule indicated above or that, once opened, it will remain open for the generally scheduled duration. The General Counsel or his or her designee(s) will notify you via email (1) at or near the anticipated beginning of each open window trading period to confirm whether the trading window will in fact be opened, (2) at or in advance of the closing of the open window trading period, and (3) when an event-specific trading restriction is in place and when such restrictions have lapsed.</w:t>
      </w:r>
    </w:p>
    <w:p>
      <w:pPr>
        <w:spacing w:after="0" w:line="199" w:lineRule="exact"/>
        <w:rPr>
          <w:rFonts w:ascii="Times New Roman" w:cs="Times New Roman" w:eastAsia="Times New Roman" w:hAnsi="Times New Roman"/>
          <w:sz w:val="20"/>
          <w:szCs w:val="20"/>
          <w:color w:val="auto"/>
        </w:rPr>
      </w:pPr>
    </w:p>
    <w:p>
      <w:pPr>
        <w:jc w:val="both"/>
        <w:ind w:left="740" w:right="400" w:hanging="318"/>
        <w:spacing w:after="0" w:line="263" w:lineRule="auto"/>
        <w:tabs>
          <w:tab w:leader="none" w:pos="73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Certain exceptions</w:t>
      </w:r>
      <w:r>
        <w:rPr>
          <w:rFonts w:ascii="Times New Roman" w:cs="Times New Roman" w:eastAsia="Times New Roman" w:hAnsi="Times New Roman"/>
          <w:sz w:val="20"/>
          <w:szCs w:val="20"/>
          <w:color w:val="auto"/>
        </w:rPr>
        <w:t>. Certain transactions are allowed outside of an open window trading period or at a time when event-specific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trading restrictions are in place. The following transactions are permissible outside an open window trading period or during an event-specific trading restriction period:</w:t>
      </w:r>
    </w:p>
    <w:p>
      <w:pPr>
        <w:sectPr>
          <w:pgSz w:w="11900" w:h="16838" w:orient="portrait"/>
          <w:cols w:equalWidth="0" w:num="1">
            <w:col w:w="11220"/>
          </w:cols>
          <w:pgMar w:left="320" w:top="1166" w:right="359" w:bottom="1440" w:gutter="0" w:footer="0" w:header="0"/>
        </w:sectPr>
      </w:pPr>
    </w:p>
    <w:bookmarkStart w:id="112" w:name="page113"/>
    <w:bookmarkEnd w:id="112"/>
    <w:p>
      <w:pPr>
        <w:ind w:left="1720" w:right="140" w:hanging="326"/>
        <w:spacing w:after="0" w:line="260" w:lineRule="auto"/>
        <w:tabs>
          <w:tab w:leader="none" w:pos="170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Cash or “net exercise” of stock options</w:t>
      </w:r>
      <w:r>
        <w:rPr>
          <w:rFonts w:ascii="Times New Roman" w:cs="Times New Roman" w:eastAsia="Times New Roman" w:hAnsi="Times New Roman"/>
          <w:sz w:val="20"/>
          <w:szCs w:val="20"/>
          <w:color w:val="auto"/>
        </w:rPr>
        <w:t>. A cash exercise of TTC stock options and a cashless “net exercise” of TTC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options pursuant to which you have elected to have TTC withhold a sufficient number of the underlying shares of TTC common stock to pay the exercise price of the option and/or satisfy your related tax withholding obligations are allowed.</w:t>
      </w:r>
    </w:p>
    <w:p>
      <w:pPr>
        <w:spacing w:after="0" w:line="191" w:lineRule="exact"/>
        <w:rPr>
          <w:rFonts w:ascii="Times New Roman" w:cs="Times New Roman" w:eastAsia="Times New Roman" w:hAnsi="Times New Roman"/>
          <w:sz w:val="20"/>
          <w:szCs w:val="20"/>
          <w:color w:val="auto"/>
        </w:rPr>
      </w:pPr>
    </w:p>
    <w:p>
      <w:pPr>
        <w:ind w:left="1720" w:right="180" w:hanging="326"/>
        <w:spacing w:after="0" w:line="258" w:lineRule="auto"/>
        <w:tabs>
          <w:tab w:leader="none" w:pos="170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TTC Retirement Plan purchase</w:t>
      </w:r>
      <w:r>
        <w:rPr>
          <w:rFonts w:ascii="Times New Roman" w:cs="Times New Roman" w:eastAsia="Times New Roman" w:hAnsi="Times New Roman"/>
          <w:sz w:val="20"/>
          <w:szCs w:val="20"/>
          <w:color w:val="auto"/>
        </w:rPr>
        <w:t>. The regular purchase of TTC securities through your participation in the TTC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Retirement Plan is allowed, provided the purchase results from your periodic plan contributions using the payroll deduction election that was made (i) during an open window trading period, (ii) at a time when you were not subject to an event-specific trading restriction, and (iii) at a time when you were not aware of material non-public information.</w:t>
      </w:r>
    </w:p>
    <w:p>
      <w:pPr>
        <w:spacing w:after="0" w:line="194" w:lineRule="exact"/>
        <w:rPr>
          <w:rFonts w:ascii="Times New Roman" w:cs="Times New Roman" w:eastAsia="Times New Roman" w:hAnsi="Times New Roman"/>
          <w:sz w:val="20"/>
          <w:szCs w:val="20"/>
          <w:color w:val="auto"/>
        </w:rPr>
      </w:pPr>
    </w:p>
    <w:p>
      <w:pPr>
        <w:ind w:left="1720" w:right="140" w:hanging="326"/>
        <w:spacing w:after="0" w:line="260" w:lineRule="auto"/>
        <w:tabs>
          <w:tab w:leader="none" w:pos="170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Dividend reinvestment. </w:t>
      </w:r>
      <w:r>
        <w:rPr>
          <w:rFonts w:ascii="Times New Roman" w:cs="Times New Roman" w:eastAsia="Times New Roman" w:hAnsi="Times New Roman"/>
          <w:sz w:val="20"/>
          <w:szCs w:val="20"/>
          <w:color w:val="auto"/>
        </w:rPr>
        <w:t>The acquisition of shares of TTC common stock under TTC’s dividend reinvestment plan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dividend reinvestment features of plans maintained by TTC are allowed pursuant to an election that was made (i) during an open window trading period, (ii) at a time when you were not subject to an event-specific trading restriction, and (iii) at a time when you were not aware of material non-public information.</w:t>
      </w:r>
    </w:p>
    <w:p>
      <w:pPr>
        <w:spacing w:after="0" w:line="191" w:lineRule="exact"/>
        <w:rPr>
          <w:rFonts w:ascii="Times New Roman" w:cs="Times New Roman" w:eastAsia="Times New Roman" w:hAnsi="Times New Roman"/>
          <w:sz w:val="20"/>
          <w:szCs w:val="20"/>
          <w:color w:val="auto"/>
        </w:rPr>
      </w:pPr>
    </w:p>
    <w:p>
      <w:pPr>
        <w:ind w:left="1720" w:right="100" w:hanging="326"/>
        <w:spacing w:after="0" w:line="269" w:lineRule="auto"/>
        <w:tabs>
          <w:tab w:leader="none" w:pos="1708"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Vesting and deferral of awards under TTC plans, including tax withholding rights</w:t>
      </w:r>
      <w:r>
        <w:rPr>
          <w:rFonts w:ascii="Times New Roman" w:cs="Times New Roman" w:eastAsia="Times New Roman" w:hAnsi="Times New Roman"/>
          <w:sz w:val="19"/>
          <w:szCs w:val="19"/>
          <w:color w:val="auto"/>
        </w:rPr>
        <w:t>. The vesting of restricted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restricted stock units, and performance share awards are allowed pursuant to the vesting schedule determined at the time of grant. Making an election to defer any vested award, as well as the deferral of receipt of the applicable vested award pursuant to such deferral election, each as completed in accordance with the terms of the applicable deferred compensation plan, are allowed. In addition, the exercise of a tax withholding right pursuant to which you elect to have TTC withhold some of the underlying shares of TTC common stock to satisfy tax withholding requirements upon vesting of such awards is permissible; however, the sale of TTC common stock by you in the open market or otherwise to cover tax withholding obligations is not allowed other than during an open window trading period.</w:t>
      </w:r>
    </w:p>
    <w:p>
      <w:pPr>
        <w:spacing w:after="0" w:line="187" w:lineRule="exact"/>
        <w:rPr>
          <w:rFonts w:ascii="Times New Roman" w:cs="Times New Roman" w:eastAsia="Times New Roman" w:hAnsi="Times New Roman"/>
          <w:sz w:val="19"/>
          <w:szCs w:val="19"/>
          <w:color w:val="auto"/>
        </w:rPr>
      </w:pPr>
    </w:p>
    <w:p>
      <w:pPr>
        <w:ind w:left="1720" w:hanging="326"/>
        <w:spacing w:after="0" w:line="260" w:lineRule="auto"/>
        <w:tabs>
          <w:tab w:leader="none" w:pos="170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Certain gifts of TTC securities. </w:t>
      </w:r>
      <w:r>
        <w:rPr>
          <w:rFonts w:ascii="Times New Roman" w:cs="Times New Roman" w:eastAsia="Times New Roman" w:hAnsi="Times New Roman"/>
          <w:sz w:val="20"/>
          <w:szCs w:val="20"/>
          <w:color w:val="auto"/>
        </w:rPr>
        <w:t>The gift of shares of TTC securities made by Restricted Persons may be allowed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discretion of the General Counsel where it is reasonably anticipated that the recipient of such gift will not immediately resell the TTC securities. Certain other gifts of TTC securities, as approved by the General Counsel, may be allowed as well.</w:t>
      </w:r>
    </w:p>
    <w:p>
      <w:pPr>
        <w:spacing w:after="0" w:line="23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Pre-Clearance</w:t>
      </w:r>
    </w:p>
    <w:p>
      <w:pPr>
        <w:spacing w:after="0" w:line="22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No Director or Officer (or his or her related parties) or any individual identified as subject to this restriction by the General Counsel may engage in any transaction in TTC securities without first obtaining pre-clearance of the transaction from TTC’s General Counsel and Chief Financial Officer (except for trades made pursuant to a previously-approved Rule 10b5-1 plan). A request for pre-clearance should be submitted by using The Toro Company sign-off approval form and checklist for stock transactions (the “Form”), and the Form must be submitted to the General Counsel and Chief Financial Officer at least 48 hours prior to the desired trade date. The General Counsel and Chief Financial Officer will determine whether the transaction may proceed and, if so, will assist you in complying with applicable reporting requirements. If the General Counsel or Chief Financial Officer is</w:t>
      </w:r>
    </w:p>
    <w:p>
      <w:pPr>
        <w:sectPr>
          <w:pgSz w:w="11900" w:h="16838" w:orient="portrait"/>
          <w:cols w:equalWidth="0" w:num="1">
            <w:col w:w="11100"/>
          </w:cols>
          <w:pgMar w:left="320" w:top="1166"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color w:val="auto"/>
        </w:rPr>
        <w:t>unavailable, he or she will designate appropriate individuals at TTC to approve transactions in their absence.</w:t>
      </w:r>
    </w:p>
    <w:p>
      <w:pPr>
        <w:spacing w:after="0" w:line="239"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20"/>
          <w:szCs w:val="20"/>
          <w:b w:val="1"/>
          <w:bCs w:val="1"/>
          <w:color w:val="auto"/>
        </w:rPr>
        <w:t>Approval by the General Counsel and Chief Financial Officer of a requested transaction submitted for pre-clearance does not constitute confirmation that you do not in fact possess material non-public information and does not relieve you of your legal obligations. Even after pre-clearance, you may not effect transactions in TTC securities if you become subject to a trading restriction period or become aware of material non-public information prior to the transaction being executed.</w:t>
      </w:r>
    </w:p>
    <w:p>
      <w:pPr>
        <w:spacing w:after="0" w:line="2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Pre-clearance of a transaction is generally valid for the period indicated on the Form, unless otherwise specified or earlier revoked. If the transaction is not effected in the manner or within the period indicated on the Form, pre-clearance of the transaction must be requested again. In order to assist you with timely reporting requirements to the SEC, you will endeavor to immediately report to the General Counsel all transactions made in TTC securities by you or your related parties.</w:t>
      </w:r>
    </w:p>
    <w:p>
      <w:pPr>
        <w:spacing w:after="0" w:line="222" w:lineRule="exact"/>
        <w:rPr>
          <w:sz w:val="20"/>
          <w:szCs w:val="20"/>
          <w:color w:val="auto"/>
        </w:rPr>
      </w:pPr>
    </w:p>
    <w:p>
      <w:pPr>
        <w:ind w:left="640" w:hanging="543"/>
        <w:spacing w:after="0"/>
        <w:tabs>
          <w:tab w:leader="none" w:pos="6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Additional Prohibitions</w:t>
      </w:r>
    </w:p>
    <w:p>
      <w:pPr>
        <w:spacing w:after="0" w:line="2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In addition to the prohibitions set forth in the Policy, the following additional prohibitions apply:</w:t>
      </w:r>
    </w:p>
    <w:p>
      <w:pPr>
        <w:spacing w:after="0" w:line="239" w:lineRule="exact"/>
        <w:rPr>
          <w:sz w:val="20"/>
          <w:szCs w:val="20"/>
          <w:color w:val="auto"/>
        </w:rPr>
      </w:pPr>
    </w:p>
    <w:p>
      <w:pPr>
        <w:ind w:left="740" w:right="40" w:hanging="318"/>
        <w:spacing w:after="0" w:line="258" w:lineRule="auto"/>
        <w:tabs>
          <w:tab w:leader="none" w:pos="73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TTC Retirement Plan trading suspension</w:t>
      </w:r>
      <w:r>
        <w:rPr>
          <w:rFonts w:ascii="Times New Roman" w:cs="Times New Roman" w:eastAsia="Times New Roman" w:hAnsi="Times New Roman"/>
          <w:sz w:val="20"/>
          <w:szCs w:val="20"/>
          <w:color w:val="auto"/>
        </w:rPr>
        <w:t>. Directors, Officers and Section 16 Individuals are prohibited from trading in TTC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in connection with a temporary suspension of trading by TTC or the plan fiduciary under the TTC Retirement Plan. Directors, Officers and Section 16 Individuals will be notified by the General Counsel when any such suspension occurs. Failure to comply with an applicable trading blackout in accordance with a Retirement Plan trading suspension is a violation of law and this Policy.</w:t>
      </w:r>
    </w:p>
    <w:p>
      <w:pPr>
        <w:spacing w:after="0" w:line="194" w:lineRule="exact"/>
        <w:rPr>
          <w:rFonts w:ascii="Times New Roman" w:cs="Times New Roman" w:eastAsia="Times New Roman" w:hAnsi="Times New Roman"/>
          <w:sz w:val="20"/>
          <w:szCs w:val="20"/>
          <w:color w:val="auto"/>
        </w:rPr>
      </w:pPr>
    </w:p>
    <w:p>
      <w:pPr>
        <w:ind w:left="740" w:hanging="318"/>
        <w:spacing w:after="0" w:line="287" w:lineRule="auto"/>
        <w:tabs>
          <w:tab w:leader="none" w:pos="73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Pledging.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Directors and Officers are not allowed to purchase TTC securities on margin, borrow against any account in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TTC securities are held, or pledge TTC securities as collateral for a loan.</w:t>
      </w:r>
    </w:p>
    <w:p>
      <w:pPr>
        <w:spacing w:after="0" w:line="1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19"/>
          <w:szCs w:val="19"/>
          <w:b w:val="1"/>
          <w:bCs w:val="1"/>
          <w:color w:val="auto"/>
        </w:rPr>
        <w:t>Rule 10b5-1 Plans</w:t>
      </w:r>
    </w:p>
    <w:p>
      <w:pPr>
        <w:spacing w:after="0" w:line="269"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20"/>
          <w:szCs w:val="20"/>
          <w:color w:val="auto"/>
        </w:rPr>
        <w:t>In addition to the requirements discussed in the Policy, Restricted Persons may only enter into or modify a Rule 10b5-1 plan at a time (i) when they are not aware of material non-public information, (ii) that is during an open window trading period, and (iii) when they are not subject to an event-specific trading restriction.</w:t>
      </w:r>
    </w:p>
    <w:p>
      <w:pPr>
        <w:sectPr>
          <w:pgSz w:w="11900" w:h="16838" w:orient="portrait"/>
          <w:cols w:equalWidth="0" w:num="1">
            <w:col w:w="10960"/>
          </w:cols>
          <w:pgMar w:left="320" w:top="1170" w:right="6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significant subsidiaries of The Toro Company as of October 31, 2025:</w:t>
      </w:r>
    </w:p>
    <w:p>
      <w:pPr>
        <w:sectPr>
          <w:pgSz w:w="11900" w:h="16838" w:orient="portrait"/>
          <w:cols w:equalWidth="0" w:num="1">
            <w:col w:w="11240"/>
          </w:cols>
          <w:pgMar w:left="320" w:top="769" w:right="339" w:bottom="1440" w:gutter="0" w:footer="0" w:header="0"/>
        </w:sectPr>
      </w:pPr>
    </w:p>
    <w:bookmarkStart w:id="115" w:name="page116"/>
    <w:bookmarkEnd w:id="115"/>
    <w:p>
      <w:pPr>
        <w:spacing w:after="0"/>
        <w:tabs>
          <w:tab w:leader="none" w:pos="3900" w:val="left"/>
          <w:tab w:leader="none" w:pos="780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473710</wp:posOffset>
            </wp:positionH>
            <wp:positionV relativeFrom="page">
              <wp:posOffset>106045</wp:posOffset>
            </wp:positionV>
            <wp:extent cx="66090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6">
                      <a:extLst>
                        <a:ext uri="{28A0092B-C50C-407E-A947-70E740481C1C}"/>
                      </a:extLst>
                    </a:blip>
                    <a:srcRect/>
                    <a:stretch>
                      <a:fillRect/>
                    </a:stretch>
                  </pic:blipFill>
                  <pic:spPr bwMode="auto">
                    <a:xfrm>
                      <a:off x="0" y="0"/>
                      <a:ext cx="6609080" cy="8255"/>
                    </a:xfrm>
                    <a:prstGeom prst="rect">
                      <a:avLst/>
                    </a:prstGeom>
                    <a:noFill/>
                  </pic:spPr>
                </pic:pic>
              </a:graphicData>
            </a:graphic>
          </wp:anchor>
        </w:drawing>
        <w:t>Name</w:t>
      </w:r>
      <w:r>
        <w:rPr>
          <w:sz w:val="20"/>
          <w:szCs w:val="20"/>
          <w:color w:val="auto"/>
        </w:rPr>
        <w:tab/>
      </w:r>
      <w:r>
        <w:rPr>
          <w:rFonts w:ascii="Times New Roman" w:cs="Times New Roman" w:eastAsia="Times New Roman" w:hAnsi="Times New Roman"/>
          <w:sz w:val="14"/>
          <w:szCs w:val="14"/>
          <w:b w:val="1"/>
          <w:bCs w:val="1"/>
          <w:color w:val="auto"/>
        </w:rPr>
        <w:t>State or Other Jurisdiction of Incorporation</w:t>
      </w:r>
      <w:r>
        <w:rPr>
          <w:sz w:val="20"/>
          <w:szCs w:val="20"/>
          <w:color w:val="auto"/>
        </w:rPr>
        <w:tab/>
      </w:r>
      <w:r>
        <w:rPr>
          <w:rFonts w:ascii="Times New Roman" w:cs="Times New Roman" w:eastAsia="Times New Roman" w:hAnsi="Times New Roman"/>
          <w:sz w:val="14"/>
          <w:szCs w:val="14"/>
          <w:b w:val="1"/>
          <w:bCs w:val="1"/>
          <w:color w:val="auto"/>
        </w:rPr>
        <w:t>Percentage of Voting Securities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33655</wp:posOffset>
            </wp:positionV>
            <wp:extent cx="6609080" cy="2317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7">
                      <a:extLst>
                        <a:ext uri="{28A0092B-C50C-407E-A947-70E740481C1C}"/>
                      </a:extLst>
                    </a:blip>
                    <a:srcRect/>
                    <a:stretch>
                      <a:fillRect/>
                    </a:stretch>
                  </pic:blipFill>
                  <pic:spPr bwMode="auto">
                    <a:xfrm>
                      <a:off x="0" y="0"/>
                      <a:ext cx="6609080" cy="231775"/>
                    </a:xfrm>
                    <a:prstGeom prst="rect">
                      <a:avLst/>
                    </a:prstGeom>
                    <a:noFill/>
                  </pic:spPr>
                </pic:pic>
              </a:graphicData>
            </a:graphic>
          </wp:anchor>
        </w:drawing>
      </w:r>
    </w:p>
    <w:p>
      <w:pPr>
        <w:sectPr>
          <w:pgSz w:w="11900" w:h="16838" w:orient="portrait"/>
          <w:cols w:equalWidth="0" w:num="1">
            <w:col w:w="10200"/>
          </w:cols>
          <w:pgMar w:left="840" w:top="169" w:right="859" w:bottom="376" w:gutter="0" w:footer="0" w:header="0"/>
        </w:sectPr>
      </w:pPr>
    </w:p>
    <w:p>
      <w:pPr>
        <w:spacing w:after="0" w:line="152"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Ditch Witch Barcelona DC, Inc.</w:t>
      </w:r>
      <w:r>
        <w:rPr>
          <w:sz w:val="20"/>
          <w:szCs w:val="20"/>
          <w:color w:val="auto"/>
        </w:rPr>
        <w:tab/>
      </w:r>
      <w:r>
        <w:rPr>
          <w:rFonts w:ascii="Times New Roman" w:cs="Times New Roman" w:eastAsia="Times New Roman" w:hAnsi="Times New Roman"/>
          <w:sz w:val="14"/>
          <w:szCs w:val="14"/>
          <w:color w:val="auto"/>
        </w:rPr>
        <w:t>Delaware</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Exmark Manufacturing Company Incorporated</w:t>
      </w:r>
      <w:r>
        <w:rPr>
          <w:sz w:val="20"/>
          <w:szCs w:val="20"/>
          <w:color w:val="auto"/>
        </w:rPr>
        <w:tab/>
      </w:r>
      <w:r>
        <w:rPr>
          <w:rFonts w:ascii="Times New Roman" w:cs="Times New Roman" w:eastAsia="Times New Roman" w:hAnsi="Times New Roman"/>
          <w:sz w:val="14"/>
          <w:szCs w:val="14"/>
          <w:color w:val="auto"/>
        </w:rPr>
        <w:t>Nebraska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8">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Hayter Holdings Limited</w:t>
      </w:r>
      <w:r>
        <w:rPr>
          <w:sz w:val="20"/>
          <w:szCs w:val="20"/>
          <w:color w:val="auto"/>
        </w:rPr>
        <w:tab/>
      </w:r>
      <w:r>
        <w:rPr>
          <w:rFonts w:ascii="Times New Roman" w:cs="Times New Roman" w:eastAsia="Times New Roman" w:hAnsi="Times New Roman"/>
          <w:sz w:val="14"/>
          <w:szCs w:val="14"/>
          <w:color w:val="auto"/>
        </w:rPr>
        <w:t>United Kingdom</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International Underground Systems, SL</w:t>
      </w:r>
      <w:r>
        <w:rPr>
          <w:sz w:val="20"/>
          <w:szCs w:val="20"/>
          <w:color w:val="auto"/>
        </w:rPr>
        <w:tab/>
      </w:r>
      <w:r>
        <w:rPr>
          <w:rFonts w:ascii="Times New Roman" w:cs="Times New Roman" w:eastAsia="Times New Roman" w:hAnsi="Times New Roman"/>
          <w:sz w:val="14"/>
          <w:szCs w:val="14"/>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9">
                      <a:extLst>
                        <a:ext uri="{28A0092B-C50C-407E-A947-70E740481C1C}"/>
                      </a:extLst>
                    </a:blip>
                    <a:srcRect/>
                    <a:stretch>
                      <a:fillRect/>
                    </a:stretch>
                  </pic:blipFill>
                  <pic:spPr bwMode="auto">
                    <a:xfrm>
                      <a:off x="0" y="0"/>
                      <a:ext cx="6609080" cy="137160"/>
                    </a:xfrm>
                    <a:prstGeom prst="rect">
                      <a:avLst/>
                    </a:prstGeom>
                    <a:noFill/>
                  </pic:spPr>
                </pic:pic>
              </a:graphicData>
            </a:graphic>
          </wp:anchor>
        </w:drawing>
      </w:r>
    </w:p>
    <w:p>
      <w:pPr>
        <w:spacing w:after="0" w:line="89"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Intimidator, LLC</w:t>
      </w:r>
      <w:r>
        <w:rPr>
          <w:sz w:val="20"/>
          <w:szCs w:val="20"/>
          <w:color w:val="auto"/>
        </w:rPr>
        <w:tab/>
      </w:r>
      <w:r>
        <w:rPr>
          <w:rFonts w:ascii="Times New Roman" w:cs="Times New Roman" w:eastAsia="Times New Roman" w:hAnsi="Times New Roman"/>
          <w:sz w:val="13"/>
          <w:szCs w:val="13"/>
          <w:color w:val="auto"/>
        </w:rPr>
        <w:t>Arkansas</w:t>
      </w:r>
    </w:p>
    <w:p>
      <w:pPr>
        <w:spacing w:after="0" w:line="136"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Irritrol Systems Europe Productions S.r.l.</w:t>
      </w:r>
      <w:r>
        <w:rPr>
          <w:sz w:val="20"/>
          <w:szCs w:val="20"/>
          <w:color w:val="auto"/>
        </w:rPr>
        <w:tab/>
      </w:r>
      <w:r>
        <w:rPr>
          <w:rFonts w:ascii="Times New Roman" w:cs="Times New Roman" w:eastAsia="Times New Roman" w:hAnsi="Times New Roman"/>
          <w:sz w:val="14"/>
          <w:szCs w:val="14"/>
          <w:color w:val="auto"/>
        </w:rPr>
        <w:t>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0">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Irritrol Systems Europe S.r.l.</w:t>
      </w:r>
      <w:r>
        <w:rPr>
          <w:sz w:val="20"/>
          <w:szCs w:val="20"/>
          <w:color w:val="auto"/>
        </w:rPr>
        <w:tab/>
      </w:r>
      <w:r>
        <w:rPr>
          <w:rFonts w:ascii="Times New Roman" w:cs="Times New Roman" w:eastAsia="Times New Roman" w:hAnsi="Times New Roman"/>
          <w:sz w:val="14"/>
          <w:szCs w:val="14"/>
          <w:color w:val="auto"/>
        </w:rPr>
        <w:t>Italy</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Michigan Underground Specialists, LLC</w:t>
      </w:r>
      <w:r>
        <w:rPr>
          <w:sz w:val="20"/>
          <w:szCs w:val="20"/>
          <w:color w:val="auto"/>
        </w:rPr>
        <w:tab/>
      </w:r>
      <w:r>
        <w:rPr>
          <w:rFonts w:ascii="Times New Roman" w:cs="Times New Roman" w:eastAsia="Times New Roman" w:hAnsi="Times New Roman"/>
          <w:sz w:val="14"/>
          <w:szCs w:val="14"/>
          <w:color w:val="auto"/>
        </w:rPr>
        <w:t>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1">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MTI Distributing, Inc.</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Perrot-Polska s.p. zoo</w:t>
      </w:r>
      <w:r>
        <w:rPr>
          <w:sz w:val="20"/>
          <w:szCs w:val="20"/>
          <w:color w:val="auto"/>
        </w:rPr>
        <w:tab/>
      </w:r>
      <w:r>
        <w:rPr>
          <w:rFonts w:ascii="Times New Roman" w:cs="Times New Roman" w:eastAsia="Times New Roman" w:hAnsi="Times New Roman"/>
          <w:sz w:val="14"/>
          <w:szCs w:val="14"/>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2">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Radius HDD Direct LLC</w:t>
      </w:r>
      <w:r>
        <w:rPr>
          <w:sz w:val="20"/>
          <w:szCs w:val="20"/>
          <w:color w:val="auto"/>
        </w:rPr>
        <w:tab/>
      </w:r>
      <w:r>
        <w:rPr>
          <w:rFonts w:ascii="Times New Roman" w:cs="Times New Roman" w:eastAsia="Times New Roman" w:hAnsi="Times New Roman"/>
          <w:sz w:val="14"/>
          <w:szCs w:val="14"/>
          <w:color w:val="auto"/>
        </w:rPr>
        <w:t>Oklahoma</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Rain Master Irrigation Systems, Inc.</w:t>
      </w:r>
      <w:r>
        <w:rPr>
          <w:sz w:val="20"/>
          <w:szCs w:val="20"/>
          <w:color w:val="auto"/>
        </w:rPr>
        <w:tab/>
      </w:r>
      <w:r>
        <w:rPr>
          <w:rFonts w:ascii="Times New Roman" w:cs="Times New Roman" w:eastAsia="Times New Roman" w:hAnsi="Times New Roman"/>
          <w:sz w:val="14"/>
          <w:szCs w:val="14"/>
          <w:color w:val="auto"/>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3">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Red Iron Acceptance, LLC</w:t>
      </w:r>
      <w:r>
        <w:rPr>
          <w:sz w:val="20"/>
          <w:szCs w:val="20"/>
          <w:color w:val="auto"/>
        </w:rPr>
        <w:tab/>
      </w:r>
      <w:r>
        <w:rPr>
          <w:rFonts w:ascii="Times New Roman" w:cs="Times New Roman" w:eastAsia="Times New Roman" w:hAnsi="Times New Roman"/>
          <w:sz w:val="14"/>
          <w:szCs w:val="14"/>
          <w:color w:val="auto"/>
        </w:rPr>
        <w:t>Delaware</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Red Iron Holding Corporation</w:t>
      </w:r>
      <w:r>
        <w:rPr>
          <w:sz w:val="20"/>
          <w:szCs w:val="20"/>
          <w:color w:val="auto"/>
        </w:rPr>
        <w:tab/>
      </w:r>
      <w:r>
        <w:rPr>
          <w:rFonts w:ascii="Times New Roman" w:cs="Times New Roman" w:eastAsia="Times New Roman" w:hAnsi="Times New Roman"/>
          <w:sz w:val="14"/>
          <w:szCs w:val="14"/>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4">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Regnerbau Calw GmbH</w:t>
      </w:r>
      <w:r>
        <w:rPr>
          <w:sz w:val="20"/>
          <w:szCs w:val="20"/>
          <w:color w:val="auto"/>
        </w:rPr>
        <w:tab/>
      </w:r>
      <w:r>
        <w:rPr>
          <w:rFonts w:ascii="Times New Roman" w:cs="Times New Roman" w:eastAsia="Times New Roman" w:hAnsi="Times New Roman"/>
          <w:sz w:val="13"/>
          <w:szCs w:val="13"/>
          <w:color w:val="auto"/>
        </w:rPr>
        <w:t>Germany</w:t>
      </w:r>
    </w:p>
    <w:p>
      <w:pPr>
        <w:spacing w:after="0" w:line="109"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Spartan Mowers, LLC</w:t>
      </w:r>
      <w:r>
        <w:rPr>
          <w:sz w:val="20"/>
          <w:szCs w:val="20"/>
          <w:color w:val="auto"/>
        </w:rPr>
        <w:tab/>
      </w:r>
      <w:r>
        <w:rPr>
          <w:rFonts w:ascii="Times New Roman" w:cs="Times New Roman" w:eastAsia="Times New Roman" w:hAnsi="Times New Roman"/>
          <w:sz w:val="13"/>
          <w:szCs w:val="13"/>
          <w:color w:val="auto"/>
        </w:rPr>
        <w:t>Arkansas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32385</wp:posOffset>
            </wp:positionV>
            <wp:extent cx="6609080" cy="2228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5">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16"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The Charles Machine Works, Inc.</w:t>
      </w:r>
      <w:r>
        <w:rPr>
          <w:sz w:val="20"/>
          <w:szCs w:val="20"/>
          <w:color w:val="auto"/>
        </w:rPr>
        <w:tab/>
      </w:r>
      <w:r>
        <w:rPr>
          <w:rFonts w:ascii="Times New Roman" w:cs="Times New Roman" w:eastAsia="Times New Roman" w:hAnsi="Times New Roman"/>
          <w:sz w:val="14"/>
          <w:szCs w:val="14"/>
          <w:color w:val="auto"/>
        </w:rPr>
        <w:t>Oklahoma</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The Holiman Co. Inc.</w:t>
      </w:r>
      <w:r>
        <w:rPr>
          <w:sz w:val="20"/>
          <w:szCs w:val="20"/>
          <w:color w:val="auto"/>
        </w:rPr>
        <w:tab/>
      </w:r>
      <w:r>
        <w:rPr>
          <w:rFonts w:ascii="Times New Roman" w:cs="Times New Roman" w:eastAsia="Times New Roman" w:hAnsi="Times New Roman"/>
          <w:sz w:val="14"/>
          <w:szCs w:val="14"/>
          <w:color w:val="auto"/>
        </w:rPr>
        <w:t>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6">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The ShopToro Company</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The Toro Company (Asia) Pte. Limited</w:t>
      </w:r>
      <w:r>
        <w:rPr>
          <w:sz w:val="20"/>
          <w:szCs w:val="20"/>
          <w:color w:val="auto"/>
        </w:rPr>
        <w:tab/>
      </w:r>
      <w:r>
        <w:rPr>
          <w:rFonts w:ascii="Times New Roman" w:cs="Times New Roman" w:eastAsia="Times New Roman" w:hAnsi="Times New Roman"/>
          <w:sz w:val="14"/>
          <w:szCs w:val="14"/>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7">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The Toro Company (Canada), Inc.</w:t>
      </w:r>
      <w:r>
        <w:rPr>
          <w:sz w:val="20"/>
          <w:szCs w:val="20"/>
          <w:color w:val="auto"/>
        </w:rPr>
        <w:tab/>
      </w:r>
      <w:r>
        <w:rPr>
          <w:rFonts w:ascii="Times New Roman" w:cs="Times New Roman" w:eastAsia="Times New Roman" w:hAnsi="Times New Roman"/>
          <w:sz w:val="14"/>
          <w:szCs w:val="14"/>
          <w:color w:val="auto"/>
        </w:rPr>
        <w:t>New Brunswick, Canada</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(China) Irrigation Equipment Co., Ltd.</w:t>
      </w:r>
      <w:r>
        <w:rPr>
          <w:sz w:val="20"/>
          <w:szCs w:val="20"/>
          <w:color w:val="auto"/>
        </w:rPr>
        <w:tab/>
      </w:r>
      <w:r>
        <w:rPr>
          <w:rFonts w:ascii="Times New Roman" w:cs="Times New Roman" w:eastAsia="Times New Roman" w:hAnsi="Times New Roman"/>
          <w:sz w:val="14"/>
          <w:szCs w:val="14"/>
          <w:color w:val="auto"/>
        </w:rPr>
        <w:t>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8">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Australia Group Sales Pty. Ltd.</w:t>
      </w:r>
      <w:r>
        <w:rPr>
          <w:sz w:val="20"/>
          <w:szCs w:val="20"/>
          <w:color w:val="auto"/>
        </w:rPr>
        <w:tab/>
      </w:r>
      <w:r>
        <w:rPr>
          <w:rFonts w:ascii="Times New Roman" w:cs="Times New Roman" w:eastAsia="Times New Roman" w:hAnsi="Times New Roman"/>
          <w:sz w:val="14"/>
          <w:szCs w:val="14"/>
          <w:color w:val="auto"/>
        </w:rPr>
        <w:t>Australia</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Australia Pty. Limited</w:t>
      </w:r>
      <w:r>
        <w:rPr>
          <w:sz w:val="20"/>
          <w:szCs w:val="20"/>
          <w:color w:val="auto"/>
        </w:rPr>
        <w:tab/>
      </w:r>
      <w:r>
        <w:rPr>
          <w:rFonts w:ascii="Times New Roman" w:cs="Times New Roman" w:eastAsia="Times New Roman" w:hAnsi="Times New Roman"/>
          <w:sz w:val="14"/>
          <w:szCs w:val="14"/>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9">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Company de Mexico, S. de R.L. de C.V.</w:t>
      </w:r>
      <w:r>
        <w:rPr>
          <w:sz w:val="20"/>
          <w:szCs w:val="20"/>
          <w:color w:val="auto"/>
        </w:rPr>
        <w:tab/>
      </w:r>
      <w:r>
        <w:rPr>
          <w:rFonts w:ascii="Times New Roman" w:cs="Times New Roman" w:eastAsia="Times New Roman" w:hAnsi="Times New Roman"/>
          <w:sz w:val="14"/>
          <w:szCs w:val="14"/>
          <w:color w:val="auto"/>
        </w:rPr>
        <w:t>Mexico</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Europe N.V.</w:t>
      </w:r>
      <w:r>
        <w:rPr>
          <w:sz w:val="20"/>
          <w:szCs w:val="20"/>
          <w:color w:val="auto"/>
        </w:rPr>
        <w:tab/>
      </w:r>
      <w:r>
        <w:rPr>
          <w:rFonts w:ascii="Times New Roman" w:cs="Times New Roman" w:eastAsia="Times New Roman" w:hAnsi="Times New Roman"/>
          <w:sz w:val="13"/>
          <w:szCs w:val="13"/>
          <w:color w:val="auto"/>
        </w:rPr>
        <w:t>Belgium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0">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Finance Company</w:t>
      </w:r>
      <w:r>
        <w:rPr>
          <w:sz w:val="20"/>
          <w:szCs w:val="20"/>
          <w:color w:val="auto"/>
        </w:rPr>
        <w:tab/>
      </w:r>
      <w:r>
        <w:rPr>
          <w:rFonts w:ascii="Times New Roman" w:cs="Times New Roman" w:eastAsia="Times New Roman" w:hAnsi="Times New Roman"/>
          <w:sz w:val="14"/>
          <w:szCs w:val="14"/>
          <w:color w:val="auto"/>
        </w:rPr>
        <w:t>California</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Finance Ltd.</w:t>
      </w:r>
      <w:r>
        <w:rPr>
          <w:sz w:val="20"/>
          <w:szCs w:val="20"/>
          <w:color w:val="auto"/>
        </w:rPr>
        <w:tab/>
      </w:r>
      <w:r>
        <w:rPr>
          <w:rFonts w:ascii="Times New Roman" w:cs="Times New Roman" w:eastAsia="Times New Roman" w:hAnsi="Times New Roman"/>
          <w:sz w:val="14"/>
          <w:szCs w:val="14"/>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1">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Germany I GmbH</w:t>
      </w:r>
      <w:r>
        <w:rPr>
          <w:sz w:val="20"/>
          <w:szCs w:val="20"/>
          <w:color w:val="auto"/>
        </w:rPr>
        <w:tab/>
      </w:r>
      <w:r>
        <w:rPr>
          <w:rFonts w:ascii="Times New Roman" w:cs="Times New Roman" w:eastAsia="Times New Roman" w:hAnsi="Times New Roman"/>
          <w:sz w:val="13"/>
          <w:szCs w:val="13"/>
          <w:color w:val="auto"/>
        </w:rPr>
        <w:t>Germany</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Global Services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2">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International Company</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LLC</w:t>
      </w:r>
      <w:r>
        <w:rPr>
          <w:sz w:val="20"/>
          <w:szCs w:val="20"/>
          <w:color w:val="auto"/>
        </w:rPr>
        <w:tab/>
      </w:r>
      <w:r>
        <w:rPr>
          <w:rFonts w:ascii="Times New Roman" w:cs="Times New Roman" w:eastAsia="Times New Roman" w:hAnsi="Times New Roman"/>
          <w:sz w:val="14"/>
          <w:szCs w:val="14"/>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3">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Luxembourg S.à.r.l.</w:t>
      </w:r>
      <w:r>
        <w:rPr>
          <w:sz w:val="20"/>
          <w:szCs w:val="20"/>
          <w:color w:val="auto"/>
        </w:rPr>
        <w:tab/>
      </w:r>
      <w:r>
        <w:rPr>
          <w:rFonts w:ascii="Times New Roman" w:cs="Times New Roman" w:eastAsia="Times New Roman" w:hAnsi="Times New Roman"/>
          <w:sz w:val="14"/>
          <w:szCs w:val="14"/>
          <w:color w:val="auto"/>
        </w:rPr>
        <w:t>Luxembourg</w:t>
      </w:r>
    </w:p>
    <w:p>
      <w:pPr>
        <w:spacing w:after="0" w:line="109"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Management Holdings, LLC</w:t>
      </w:r>
      <w:r>
        <w:rPr>
          <w:sz w:val="20"/>
          <w:szCs w:val="20"/>
          <w:color w:val="auto"/>
        </w:rPr>
        <w:tab/>
      </w:r>
      <w:r>
        <w:rPr>
          <w:rFonts w:ascii="Times New Roman" w:cs="Times New Roman" w:eastAsia="Times New Roman" w:hAnsi="Times New Roman"/>
          <w:sz w:val="14"/>
          <w:szCs w:val="14"/>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32385</wp:posOffset>
            </wp:positionV>
            <wp:extent cx="6609080" cy="2228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4">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16"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Manufacturing and Sales, S.R.L.</w:t>
      </w:r>
      <w:r>
        <w:rPr>
          <w:sz w:val="20"/>
          <w:szCs w:val="20"/>
          <w:color w:val="auto"/>
        </w:rPr>
        <w:tab/>
      </w:r>
      <w:r>
        <w:rPr>
          <w:rFonts w:ascii="Times New Roman" w:cs="Times New Roman" w:eastAsia="Times New Roman" w:hAnsi="Times New Roman"/>
          <w:sz w:val="14"/>
          <w:szCs w:val="14"/>
          <w:color w:val="auto"/>
        </w:rPr>
        <w:t>Romania</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Mexico Holdings LLC</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5">
                      <a:extLst>
                        <a:ext uri="{28A0092B-C50C-407E-A947-70E740481C1C}"/>
                      </a:extLst>
                    </a:blip>
                    <a:srcRect/>
                    <a:stretch>
                      <a:fillRect/>
                    </a:stretch>
                  </pic:blipFill>
                  <pic:spPr bwMode="auto">
                    <a:xfrm>
                      <a:off x="0" y="0"/>
                      <a:ext cx="6609080" cy="137160"/>
                    </a:xfrm>
                    <a:prstGeom prst="rect">
                      <a:avLst/>
                    </a:prstGeom>
                    <a:noFill/>
                  </pic:spPr>
                </pic:pic>
              </a:graphicData>
            </a:graphic>
          </wp:anchor>
        </w:drawing>
      </w:r>
    </w:p>
    <w:p>
      <w:pPr>
        <w:spacing w:after="0" w:line="89"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Mexico Sales S de R.L. de C.V.</w:t>
      </w:r>
      <w:r>
        <w:rPr>
          <w:sz w:val="20"/>
          <w:szCs w:val="20"/>
          <w:color w:val="auto"/>
        </w:rPr>
        <w:tab/>
      </w:r>
      <w:r>
        <w:rPr>
          <w:rFonts w:ascii="Times New Roman" w:cs="Times New Roman" w:eastAsia="Times New Roman" w:hAnsi="Times New Roman"/>
          <w:sz w:val="14"/>
          <w:szCs w:val="14"/>
          <w:color w:val="auto"/>
        </w:rPr>
        <w:t>Mexico</w:t>
      </w:r>
    </w:p>
    <w:p>
      <w:pPr>
        <w:spacing w:after="0" w:line="55"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Principal Manufacturing (Singapore) Pte. Limited</w:t>
      </w:r>
      <w:r>
        <w:rPr>
          <w:sz w:val="20"/>
          <w:szCs w:val="20"/>
          <w:color w:val="auto"/>
        </w:rPr>
        <w:tab/>
      </w:r>
      <w:r>
        <w:rPr>
          <w:rFonts w:ascii="Times New Roman" w:cs="Times New Roman" w:eastAsia="Times New Roman" w:hAnsi="Times New Roman"/>
          <w:sz w:val="14"/>
          <w:szCs w:val="14"/>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32385</wp:posOffset>
            </wp:positionV>
            <wp:extent cx="6609080" cy="2228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16"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Purchasing Company</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Sales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Technology Center India LLP</w:t>
      </w:r>
      <w:r>
        <w:rPr>
          <w:sz w:val="20"/>
          <w:szCs w:val="20"/>
          <w:color w:val="auto"/>
        </w:rPr>
        <w:tab/>
      </w:r>
      <w:r>
        <w:rPr>
          <w:rFonts w:ascii="Times New Roman" w:cs="Times New Roman" w:eastAsia="Times New Roman" w:hAnsi="Times New Roman"/>
          <w:sz w:val="13"/>
          <w:szCs w:val="13"/>
          <w:color w:val="auto"/>
        </w:rPr>
        <w:t>India</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U.K. Limited</w:t>
      </w:r>
      <w:r>
        <w:rPr>
          <w:sz w:val="20"/>
          <w:szCs w:val="20"/>
          <w:color w:val="auto"/>
        </w:rPr>
        <w:tab/>
      </w:r>
      <w:r>
        <w:rPr>
          <w:rFonts w:ascii="Times New Roman" w:cs="Times New Roman" w:eastAsia="Times New Roman" w:hAnsi="Times New Roman"/>
          <w:sz w:val="14"/>
          <w:szCs w:val="14"/>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8">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Toro Warranty Company</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Tover Overseas B.V.</w:t>
      </w:r>
      <w:r>
        <w:rPr>
          <w:sz w:val="20"/>
          <w:szCs w:val="20"/>
          <w:color w:val="auto"/>
        </w:rPr>
        <w:tab/>
      </w:r>
      <w:r>
        <w:rPr>
          <w:rFonts w:ascii="Times New Roman" w:cs="Times New Roman" w:eastAsia="Times New Roman" w:hAnsi="Times New Roman"/>
          <w:sz w:val="14"/>
          <w:szCs w:val="14"/>
          <w:color w:val="auto"/>
        </w:rPr>
        <w:t>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66675</wp:posOffset>
            </wp:positionV>
            <wp:extent cx="6609080" cy="2228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9">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Tover Overseas I C.V.</w:t>
      </w:r>
      <w:r>
        <w:rPr>
          <w:sz w:val="20"/>
          <w:szCs w:val="20"/>
          <w:color w:val="auto"/>
        </w:rPr>
        <w:tab/>
      </w:r>
      <w:r>
        <w:rPr>
          <w:rFonts w:ascii="Times New Roman" w:cs="Times New Roman" w:eastAsia="Times New Roman" w:hAnsi="Times New Roman"/>
          <w:sz w:val="14"/>
          <w:szCs w:val="14"/>
          <w:color w:val="auto"/>
        </w:rPr>
        <w:t>Netherlands</w:t>
      </w:r>
    </w:p>
    <w:p>
      <w:pPr>
        <w:spacing w:after="0" w:line="109"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Turflynx, Unipessoal Lda</w:t>
      </w:r>
      <w:r>
        <w:rPr>
          <w:sz w:val="20"/>
          <w:szCs w:val="20"/>
          <w:color w:val="auto"/>
        </w:rPr>
        <w:tab/>
      </w:r>
      <w:r>
        <w:rPr>
          <w:rFonts w:ascii="Times New Roman" w:cs="Times New Roman" w:eastAsia="Times New Roman" w:hAnsi="Times New Roman"/>
          <w:sz w:val="14"/>
          <w:szCs w:val="14"/>
          <w:color w:val="auto"/>
        </w:rPr>
        <w:t>Portugal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32385</wp:posOffset>
            </wp:positionV>
            <wp:extent cx="660908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0">
                      <a:extLst>
                        <a:ext uri="{28A0092B-C50C-407E-A947-70E740481C1C}"/>
                      </a:extLst>
                    </a:blip>
                    <a:srcRect/>
                    <a:stretch>
                      <a:fillRect/>
                    </a:stretch>
                  </pic:blipFill>
                  <pic:spPr bwMode="auto">
                    <a:xfrm>
                      <a:off x="0" y="0"/>
                      <a:ext cx="6609080" cy="137160"/>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4"/>
          <w:szCs w:val="14"/>
          <w:color w:val="auto"/>
        </w:rPr>
        <w:t>Venture Products, Inc.</w:t>
      </w:r>
      <w:r>
        <w:rPr>
          <w:sz w:val="20"/>
          <w:szCs w:val="20"/>
          <w:color w:val="auto"/>
        </w:rPr>
        <w:tab/>
      </w:r>
      <w:r>
        <w:rPr>
          <w:rFonts w:ascii="Times New Roman" w:cs="Times New Roman" w:eastAsia="Times New Roman" w:hAnsi="Times New Roman"/>
          <w:sz w:val="14"/>
          <w:szCs w:val="14"/>
          <w:color w:val="auto"/>
        </w:rPr>
        <w:t>Ohio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32385</wp:posOffset>
            </wp:positionV>
            <wp:extent cx="66090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1">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45%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ectPr>
          <w:pgSz w:w="11900" w:h="16838" w:orient="portrait"/>
          <w:cols w:equalWidth="0" w:num="2">
            <w:col w:w="9120" w:space="720"/>
            <w:col w:w="360"/>
          </w:cols>
          <w:pgMar w:left="840" w:top="169" w:right="859" w:bottom="376" w:gutter="0" w:footer="0" w:header="0"/>
          <w:type w:val="continuous"/>
        </w:sectPr>
      </w:pPr>
    </w:p>
    <w:bookmarkStart w:id="116" w:name="page117"/>
    <w:bookmarkEnd w:id="1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23.1</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333-263792, 333-47260, 333-89260, 333-119504, 033-59563, 333-11860, 333-100004, 333-87461, 333-165582, 333-204336, and 333-215251) on Form S-8 of our report dated December 17, 2025, with respect to the consolidated financial statements of The Toro Company and the effectiveness of internal control over financial reporting.</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17, 2025</w:t>
      </w:r>
    </w:p>
    <w:p>
      <w:pPr>
        <w:sectPr>
          <w:pgSz w:w="11900" w:h="16838" w:orient="portrait"/>
          <w:cols w:equalWidth="0" w:num="1">
            <w:col w:w="11240"/>
          </w:cols>
          <w:pgMar w:left="320" w:top="891" w:right="339" w:bottom="1440" w:gutter="0" w:footer="0" w:header="0"/>
        </w:sectPr>
      </w:pPr>
    </w:p>
    <w:bookmarkStart w:id="118" w:name="page119"/>
    <w:bookmarkEnd w:id="118"/>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24.1</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undersigned directors of The Toro Company, a Delaware corporation (the “Company”), hereby authorize and appoint Richard M. Olson and Angela C. Drake, each of them severally, the individual’s true and lawful attorneys-in-fact and agents, with power to act with or without the other, and with full power of substitution and resubstitution, for the person and in his or her name, place and stead, in any and all capacities, to sign the Annual Report on Form 10-K for the fiscal year ended October 31, 2025, to be filed by the Company pursuant to the Securities and Exchange Act of 1934, as amended, and any and all amendments thereto, including any and all other documents in connection therewith to be filed with the U.S. Securities and Exchange Commission (the “SEC”), and to file the same, with all exhibits thereto and other supporting documents, with the SEC.</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said attorneys-in-fact and agents, and each of them, full power and authority to do and perform each and every act and thing requisite and necessary to be done in and about the premises, as fully to all intents and purposes as the undersigned might or could do in person, hereby ratifying and confirming that said attorneys-in-fact and agents, or any of them, or their or his or her substitutes or substitute,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December 16, 2025</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52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/s/Dianne C. Craig</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Dianne C. Craig</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/s/Gary L. Ellis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Gary L. Ellis</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/s/Eric P. Hansotia</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Eric P. Hansotia</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/s/Jeffrey L. Harmening</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Jeffrey L. Harmening</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/s/D. Christian Koch</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 Christian Koch</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/s/Joyce A. Mullen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Joyce A. Mullen</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/s/James C. O’Rourke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James C. O'Rourke</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/s/Jill M. Pemberton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Jill M. Pemberton</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Toro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61"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17, 2025</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2">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C. Drake, certify that:</w:t>
      </w:r>
    </w:p>
    <w:p>
      <w:pPr>
        <w:spacing w:after="0" w:line="225"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Toro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2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61" w:lineRule="auto"/>
        <w:tabs>
          <w:tab w:leader="none" w:pos="12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17, 2025</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Angela C. Drake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The Toro Company (the “Company”) for the fiscal year ended October 31, 2025 as filed with the Securities and Exchange Commission on the date hereof (the “Report”), we, Richard M. Olson, Chairman of the Board and Chief Executive Officer of the Company, and Angela C. Drake, Vice President and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17, 2025</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Angela C. Drake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17, 2025</w:t>
      </w: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 xml:space="preserve">Policy Name: </w:t>
      </w:r>
      <w:r>
        <w:rPr>
          <w:rFonts w:ascii="Arial" w:cs="Arial" w:eastAsia="Arial" w:hAnsi="Arial"/>
          <w:sz w:val="22"/>
          <w:szCs w:val="22"/>
          <w:b w:val="1"/>
          <w:bCs w:val="1"/>
          <w:color w:val="auto"/>
        </w:rPr>
        <w:t>Clawback Policy</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Applies To:</w:t>
      </w:r>
      <w:r>
        <w:rPr>
          <w:sz w:val="20"/>
          <w:szCs w:val="20"/>
          <w:color w:val="auto"/>
        </w:rPr>
        <w:tab/>
      </w:r>
      <w:r>
        <w:rPr>
          <w:rFonts w:ascii="Arial" w:cs="Arial" w:eastAsia="Arial" w:hAnsi="Arial"/>
          <w:sz w:val="21"/>
          <w:szCs w:val="21"/>
          <w:color w:val="auto"/>
        </w:rPr>
        <w:t>Executive Officers and other Covered Employees (as defined below)</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4A4F53"/>
        </w:rPr>
        <w:t>Purpose</w:t>
      </w:r>
    </w:p>
    <w:p>
      <w:pPr>
        <w:spacing w:after="0" w:line="159" w:lineRule="exact"/>
        <w:rPr>
          <w:sz w:val="20"/>
          <w:szCs w:val="20"/>
          <w:color w:val="auto"/>
        </w:rPr>
      </w:pPr>
    </w:p>
    <w:p>
      <w:pPr>
        <w:jc w:val="both"/>
        <w:ind w:right="160"/>
        <w:spacing w:after="0" w:line="263" w:lineRule="auto"/>
        <w:rPr>
          <w:sz w:val="20"/>
          <w:szCs w:val="20"/>
          <w:color w:val="auto"/>
        </w:rPr>
      </w:pPr>
      <w:r>
        <w:rPr>
          <w:rFonts w:ascii="Arial" w:cs="Arial" w:eastAsia="Arial" w:hAnsi="Arial"/>
          <w:sz w:val="20"/>
          <w:szCs w:val="20"/>
          <w:color w:val="auto"/>
        </w:rPr>
        <w:t>The Toro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is committed to conducting business with integrity in accordance with high ethical standards and in compliance with all applicable laws, rules and regulations, including those applicable to the presentation of the Company’s financial information to the public. As a result, the Board of Directors of the Company (the “</w:t>
      </w:r>
      <w:r>
        <w:rPr>
          <w:rFonts w:ascii="Arial" w:cs="Arial" w:eastAsia="Arial" w:hAnsi="Arial"/>
          <w:sz w:val="20"/>
          <w:szCs w:val="20"/>
          <w:u w:val="single" w:color="auto"/>
          <w:color w:val="auto"/>
        </w:rPr>
        <w:t>Board</w:t>
      </w:r>
      <w:r>
        <w:rPr>
          <w:rFonts w:ascii="Arial" w:cs="Arial" w:eastAsia="Arial" w:hAnsi="Arial"/>
          <w:sz w:val="20"/>
          <w:szCs w:val="20"/>
          <w:color w:val="auto"/>
        </w:rPr>
        <w:t>”) has adopted this Clawback Policy (this “</w:t>
      </w:r>
      <w:r>
        <w:rPr>
          <w:rFonts w:ascii="Arial" w:cs="Arial" w:eastAsia="Arial" w:hAnsi="Arial"/>
          <w:sz w:val="20"/>
          <w:szCs w:val="20"/>
          <w:u w:val="single" w:color="auto"/>
          <w:color w:val="auto"/>
        </w:rPr>
        <w:t>Policy</w:t>
      </w:r>
      <w:r>
        <w:rPr>
          <w:rFonts w:ascii="Arial" w:cs="Arial" w:eastAsia="Arial" w:hAnsi="Arial"/>
          <w:sz w:val="20"/>
          <w:szCs w:val="20"/>
          <w:color w:val="auto"/>
        </w:rPr>
        <w:t>”), which provides for the recovery of certain employee incentive compensation in the event of financial errors, including an accounting restatement, or other employee egregious misconduct that has a substantial detrimental effect on the Company or its subsidiaries or its results of operations.</w:t>
      </w:r>
    </w:p>
    <w:p>
      <w:pPr>
        <w:spacing w:after="0" w:line="112" w:lineRule="exact"/>
        <w:rPr>
          <w:sz w:val="20"/>
          <w:szCs w:val="20"/>
          <w:color w:val="auto"/>
        </w:rPr>
      </w:pPr>
    </w:p>
    <w:p>
      <w:pPr>
        <w:jc w:val="both"/>
        <w:ind w:right="160"/>
        <w:spacing w:after="0" w:line="269" w:lineRule="auto"/>
        <w:rPr>
          <w:sz w:val="20"/>
          <w:szCs w:val="20"/>
          <w:color w:val="auto"/>
        </w:rPr>
      </w:pPr>
      <w:r>
        <w:rPr>
          <w:rFonts w:ascii="Arial" w:cs="Arial" w:eastAsia="Arial" w:hAnsi="Arial"/>
          <w:sz w:val="20"/>
          <w:szCs w:val="20"/>
          <w:color w:val="auto"/>
        </w:rPr>
        <w:t>This Policy is adopted pursuant to and intended to comply with Section 303A.14 of the New York Stock Exchange (“</w:t>
      </w:r>
      <w:r>
        <w:rPr>
          <w:rFonts w:ascii="Arial" w:cs="Arial" w:eastAsia="Arial" w:hAnsi="Arial"/>
          <w:sz w:val="20"/>
          <w:szCs w:val="20"/>
          <w:u w:val="single" w:color="auto"/>
          <w:color w:val="auto"/>
        </w:rPr>
        <w:t>NYSE</w:t>
      </w:r>
      <w:r>
        <w:rPr>
          <w:rFonts w:ascii="Arial" w:cs="Arial" w:eastAsia="Arial" w:hAnsi="Arial"/>
          <w:sz w:val="20"/>
          <w:szCs w:val="20"/>
          <w:color w:val="auto"/>
        </w:rPr>
        <w:t>”) Listed Company Manual with respect to the recovery of erroneously awarded compensation from the Company’s current and former Executive Officers (as defined below) so long as the Company’s securities are listed on the NYSE.</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4A4F53"/>
        </w:rPr>
        <w:t>Policy Administration</w:t>
      </w:r>
    </w:p>
    <w:p>
      <w:pPr>
        <w:spacing w:after="0" w:line="172" w:lineRule="exact"/>
        <w:rPr>
          <w:sz w:val="20"/>
          <w:szCs w:val="20"/>
          <w:color w:val="auto"/>
        </w:rPr>
      </w:pPr>
    </w:p>
    <w:p>
      <w:pPr>
        <w:ind w:right="140"/>
        <w:spacing w:after="0" w:line="276" w:lineRule="auto"/>
        <w:rPr>
          <w:sz w:val="20"/>
          <w:szCs w:val="20"/>
          <w:color w:val="auto"/>
        </w:rPr>
      </w:pPr>
      <w:r>
        <w:rPr>
          <w:rFonts w:ascii="Arial" w:cs="Arial" w:eastAsia="Arial" w:hAnsi="Arial"/>
          <w:sz w:val="19"/>
          <w:szCs w:val="19"/>
          <w:color w:val="auto"/>
        </w:rPr>
        <w:t>This Policy will be administered by the Compensation &amp; Human Resources Committee of the Board of Directors, or in the absence of such a committee, a majority of the “independent directors” (within the meaning of Section 303A.02 of the NYSE Listed Company Manual) serving on the Board (the “</w:t>
      </w:r>
      <w:r>
        <w:rPr>
          <w:rFonts w:ascii="Arial" w:cs="Arial" w:eastAsia="Arial" w:hAnsi="Arial"/>
          <w:sz w:val="19"/>
          <w:szCs w:val="19"/>
          <w:u w:val="single" w:color="auto"/>
          <w:color w:val="auto"/>
        </w:rPr>
        <w:t>Committee</w:t>
      </w:r>
      <w:r>
        <w:rPr>
          <w:rFonts w:ascii="Arial" w:cs="Arial" w:eastAsia="Arial" w:hAnsi="Arial"/>
          <w:sz w:val="19"/>
          <w:szCs w:val="19"/>
          <w:color w:val="auto"/>
        </w:rPr>
        <w:t>”). Except as limited by law, the Committee will have full power, authority, and sole and exclusive discretion to construe, interpret and administer this Policy. The Committee will interpret this Policy consistent with Section 303A.14 of the NYSE Listed Company Manual and any NYSE guidance issued thereunder, the rules and regulations of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and any other applicable laws, rules or regulations governing the mandatory recovery of compensation, as such laws, rules or regulations may change, be interpreted or evolve from time to time. Any determinations made by the Committee will be made in its sole discretion and will be final, conclusive and binding on all affected individuals.</w:t>
      </w:r>
    </w:p>
    <w:p>
      <w:pPr>
        <w:spacing w:after="0" w:line="101" w:lineRule="exact"/>
        <w:rPr>
          <w:sz w:val="20"/>
          <w:szCs w:val="20"/>
          <w:color w:val="auto"/>
        </w:rPr>
      </w:pPr>
    </w:p>
    <w:p>
      <w:pPr>
        <w:jc w:val="both"/>
        <w:ind w:right="160"/>
        <w:spacing w:after="0" w:line="269" w:lineRule="auto"/>
        <w:rPr>
          <w:sz w:val="20"/>
          <w:szCs w:val="20"/>
          <w:color w:val="auto"/>
        </w:rPr>
      </w:pPr>
      <w:r>
        <w:rPr>
          <w:rFonts w:ascii="Arial" w:cs="Arial" w:eastAsia="Arial" w:hAnsi="Arial"/>
          <w:sz w:val="20"/>
          <w:szCs w:val="20"/>
          <w:color w:val="auto"/>
        </w:rPr>
        <w:t>In the event of any change in any federal or state law, rule or regulation, or rule, regulation, policy or listing standard of the SEC or any securities exchange on which the Company’s securities are listed, which requires the Company to recover certain compensation from a Covered Employee (as defined below), the Committee will be required to seek recovery under this Policy to the fullest extent required by such laws, rules, regulations or listing standards.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4A4F53"/>
        </w:rPr>
        <w:t>Covered Employees</w:t>
      </w:r>
    </w:p>
    <w:p>
      <w:pPr>
        <w:spacing w:after="0" w:line="159" w:lineRule="exact"/>
        <w:rPr>
          <w:sz w:val="20"/>
          <w:szCs w:val="20"/>
          <w:color w:val="auto"/>
        </w:rPr>
      </w:pPr>
    </w:p>
    <w:p>
      <w:pPr>
        <w:jc w:val="both"/>
        <w:ind w:right="160"/>
        <w:spacing w:after="0" w:line="269" w:lineRule="auto"/>
        <w:rPr>
          <w:sz w:val="20"/>
          <w:szCs w:val="20"/>
          <w:color w:val="auto"/>
        </w:rPr>
      </w:pPr>
      <w:r>
        <w:rPr>
          <w:rFonts w:ascii="Arial" w:cs="Arial" w:eastAsia="Arial" w:hAnsi="Arial"/>
          <w:sz w:val="20"/>
          <w:szCs w:val="20"/>
          <w:color w:val="auto"/>
        </w:rPr>
        <w:t>This Policy will cover the Company’s current and former Executive Officers (as defined below), individuals at or above the senior managing director, general manager, or comparable level and such other employees who may from time to time be deemed subject to the Policy by the Committee (collectively, the “Covered Employees”).</w:t>
      </w:r>
    </w:p>
    <w:p>
      <w:pPr>
        <w:spacing w:after="0" w:line="33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Notwithstanding the generality of the foregoing and for the avoidance of doubt, this Policy will cover the Company’s current and former Executive Officers who Received Erroneously Awarded Compensation (in each case, as such terms are defined below) regardless of whether the Executive Officer committed misconduct or contributed to the error.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Effective Date: 01/22/25 </w:t>
      </w:r>
      <w:r>
        <w:rPr>
          <w:rFonts w:ascii="Arial" w:cs="Arial" w:eastAsia="Arial" w:hAnsi="Arial"/>
          <w:sz w:val="16"/>
          <w:szCs w:val="16"/>
          <w:b w:val="1"/>
          <w:bCs w:val="1"/>
          <w:color w:val="CD1F20"/>
        </w:rPr>
        <w:t>|</w:t>
      </w:r>
      <w:r>
        <w:rPr>
          <w:rFonts w:ascii="Arial" w:cs="Arial" w:eastAsia="Arial" w:hAnsi="Arial"/>
          <w:sz w:val="16"/>
          <w:szCs w:val="16"/>
          <w:color w:val="auto"/>
        </w:rPr>
        <w:t xml:space="preserve"> Replaces Policy Dated: 10/02/23 </w:t>
      </w:r>
      <w:r>
        <w:rPr>
          <w:rFonts w:ascii="Arial" w:cs="Arial" w:eastAsia="Arial" w:hAnsi="Arial"/>
          <w:sz w:val="16"/>
          <w:szCs w:val="16"/>
          <w:b w:val="1"/>
          <w:bCs w:val="1"/>
          <w:color w:val="CD1F20"/>
        </w:rPr>
        <w:t>|</w:t>
      </w:r>
      <w:r>
        <w:rPr>
          <w:rFonts w:ascii="Arial" w:cs="Arial" w:eastAsia="Arial" w:hAnsi="Arial"/>
          <w:sz w:val="16"/>
          <w:szCs w:val="16"/>
          <w:color w:val="auto"/>
        </w:rPr>
        <w:t xml:space="preserve"> Last Review Date: 01/22/25</w:t>
      </w:r>
    </w:p>
    <w:p>
      <w:pPr>
        <w:sectPr>
          <w:pgSz w:w="11900" w:h="16838" w:orient="portrait"/>
          <w:cols w:equalWidth="0" w:num="1">
            <w:col w:w="10500"/>
          </w:cols>
          <w:pgMar w:left="1060" w:top="1380" w:right="3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Executive Officer</w:t>
      </w:r>
      <w:r>
        <w:rPr>
          <w:rFonts w:ascii="Arial" w:cs="Arial" w:eastAsia="Arial" w:hAnsi="Arial"/>
          <w:sz w:val="20"/>
          <w:szCs w:val="20"/>
          <w:color w:val="auto"/>
        </w:rPr>
        <w:t>” as used in this Policy means the Company’s:</w:t>
      </w:r>
    </w:p>
    <w:p>
      <w:pPr>
        <w:spacing w:after="0" w:line="175" w:lineRule="exact"/>
        <w:rPr>
          <w:sz w:val="20"/>
          <w:szCs w:val="20"/>
          <w:color w:val="auto"/>
        </w:rPr>
      </w:pPr>
    </w:p>
    <w:p>
      <w:pPr>
        <w:ind w:left="960" w:hanging="630"/>
        <w:spacing w:after="0"/>
        <w:tabs>
          <w:tab w:leader="none" w:pos="960"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President;</w:t>
      </w:r>
    </w:p>
    <w:p>
      <w:pPr>
        <w:spacing w:after="0" w:line="30" w:lineRule="exact"/>
        <w:rPr>
          <w:rFonts w:ascii="Times New Roman" w:cs="Times New Roman" w:eastAsia="Times New Roman" w:hAnsi="Times New Roman"/>
          <w:sz w:val="20"/>
          <w:szCs w:val="20"/>
          <w:color w:val="auto"/>
        </w:rPr>
      </w:pPr>
    </w:p>
    <w:p>
      <w:pPr>
        <w:ind w:left="960" w:hanging="630"/>
        <w:spacing w:after="0" w:line="238" w:lineRule="auto"/>
        <w:tabs>
          <w:tab w:leader="none" w:pos="960"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Principal financial officer;</w:t>
      </w:r>
    </w:p>
    <w:p>
      <w:pPr>
        <w:ind w:left="960" w:hanging="630"/>
        <w:spacing w:after="0"/>
        <w:tabs>
          <w:tab w:leader="none" w:pos="960"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Principal accounting officer (or if there is no such accounting officer, the controller);</w:t>
      </w:r>
    </w:p>
    <w:p>
      <w:pPr>
        <w:spacing w:after="0" w:line="12" w:lineRule="exact"/>
        <w:rPr>
          <w:rFonts w:ascii="Times New Roman" w:cs="Times New Roman" w:eastAsia="Times New Roman" w:hAnsi="Times New Roman"/>
          <w:sz w:val="20"/>
          <w:szCs w:val="20"/>
          <w:color w:val="auto"/>
        </w:rPr>
      </w:pPr>
    </w:p>
    <w:p>
      <w:pPr>
        <w:ind w:left="980" w:hanging="650"/>
        <w:spacing w:after="0" w:line="239" w:lineRule="auto"/>
        <w:tabs>
          <w:tab w:leader="none" w:pos="968"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Any vice-president of the Company in charge of a principal business unit, division or function (such as sales, administration or finance);</w:t>
      </w:r>
    </w:p>
    <w:p>
      <w:pPr>
        <w:ind w:left="960" w:hanging="630"/>
        <w:spacing w:after="0"/>
        <w:tabs>
          <w:tab w:leader="none" w:pos="960"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Any other officer who performs a policy-making function; or</w:t>
      </w:r>
    </w:p>
    <w:p>
      <w:pPr>
        <w:spacing w:after="0" w:line="12" w:lineRule="exact"/>
        <w:rPr>
          <w:rFonts w:ascii="Times New Roman" w:cs="Times New Roman" w:eastAsia="Times New Roman" w:hAnsi="Times New Roman"/>
          <w:sz w:val="20"/>
          <w:szCs w:val="20"/>
          <w:color w:val="auto"/>
        </w:rPr>
      </w:pPr>
    </w:p>
    <w:p>
      <w:pPr>
        <w:jc w:val="both"/>
        <w:ind w:left="980" w:hanging="650"/>
        <w:spacing w:after="0" w:line="252" w:lineRule="auto"/>
        <w:tabs>
          <w:tab w:leader="none" w:pos="968"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Any other person who performs similar policy-making functions for the Company and executive officers of the Company’s parents or subsidiaries if such individuals perform such policy-making functions for the Company.</w:t>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Policy-making function is not intended to include policy-making functions that are not significant.</w:t>
      </w:r>
    </w:p>
    <w:p>
      <w:pPr>
        <w:spacing w:after="0" w:line="17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Identification of an Executive Officer for purposes of this Policy would include at a minimum executive officers identified by the Company pursuant to Item 401(b) of SEC Regulation S-K.</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4A4F53"/>
        </w:rPr>
        <w:t>Compensation Covered</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This Policy will apply to all incentive compensation paid, granted, earned, vested or otherwise awarded to a Covered Employee, including annual cash incentives and other short and long-term cash incentive awards, stock options, restricted stock units, performance share awards, and any other equity-based awards (“</w:t>
      </w:r>
      <w:r>
        <w:rPr>
          <w:rFonts w:ascii="Arial" w:cs="Arial" w:eastAsia="Arial" w:hAnsi="Arial"/>
          <w:sz w:val="20"/>
          <w:szCs w:val="20"/>
          <w:u w:val="single" w:color="auto"/>
          <w:color w:val="auto"/>
        </w:rPr>
        <w:t>Incentive Compensation</w:t>
      </w:r>
      <w:r>
        <w:rPr>
          <w:rFonts w:ascii="Arial" w:cs="Arial" w:eastAsia="Arial" w:hAnsi="Arial"/>
          <w:sz w:val="20"/>
          <w:szCs w:val="20"/>
          <w:color w:val="auto"/>
        </w:rPr>
        <w:t>”).</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Notwithstanding the generality of and in addition to the foregoing, as required under Section 303A.14 of the NYSE Listed Company Manual, this Policy will apply to all Incentive-Based Compensation Received by a person (in each case, as such terms are defined below):</w:t>
      </w:r>
    </w:p>
    <w:p>
      <w:pPr>
        <w:spacing w:after="0" w:line="84" w:lineRule="exact"/>
        <w:rPr>
          <w:sz w:val="20"/>
          <w:szCs w:val="20"/>
          <w:color w:val="auto"/>
        </w:rPr>
      </w:pPr>
    </w:p>
    <w:p>
      <w:pPr>
        <w:ind w:left="980" w:hanging="650"/>
        <w:spacing w:after="0" w:line="271" w:lineRule="auto"/>
        <w:tabs>
          <w:tab w:leader="none" w:pos="968" w:val="left"/>
        </w:tabs>
        <w:numPr>
          <w:ilvl w:val="0"/>
          <w:numId w:val="70"/>
        </w:numPr>
        <w:rPr>
          <w:rFonts w:ascii="Times New Roman" w:cs="Times New Roman" w:eastAsia="Times New Roman" w:hAnsi="Times New Roman"/>
          <w:sz w:val="20"/>
          <w:szCs w:val="20"/>
          <w:color w:val="auto"/>
        </w:rPr>
      </w:pPr>
      <w:r>
        <w:rPr>
          <w:rFonts w:ascii="Arial" w:cs="Arial" w:eastAsia="Arial" w:hAnsi="Arial"/>
          <w:sz w:val="20"/>
          <w:szCs w:val="20"/>
          <w:color w:val="auto"/>
        </w:rPr>
        <w:t>After beginning service as an Executive Officer of the Company and who served as an Executive Officer at any time during the performance period for that Incentive-Based Compensation;</w:t>
      </w:r>
    </w:p>
    <w:p>
      <w:pPr>
        <w:spacing w:after="0" w:line="154" w:lineRule="exact"/>
        <w:rPr>
          <w:rFonts w:ascii="Times New Roman" w:cs="Times New Roman" w:eastAsia="Times New Roman" w:hAnsi="Times New Roman"/>
          <w:sz w:val="20"/>
          <w:szCs w:val="20"/>
          <w:color w:val="auto"/>
        </w:rPr>
      </w:pPr>
    </w:p>
    <w:p>
      <w:pPr>
        <w:ind w:left="980" w:hanging="650"/>
        <w:spacing w:after="0" w:line="271" w:lineRule="auto"/>
        <w:tabs>
          <w:tab w:leader="none" w:pos="968" w:val="left"/>
        </w:tabs>
        <w:numPr>
          <w:ilvl w:val="0"/>
          <w:numId w:val="70"/>
        </w:numPr>
        <w:rPr>
          <w:rFonts w:ascii="Times New Roman" w:cs="Times New Roman" w:eastAsia="Times New Roman" w:hAnsi="Times New Roman"/>
          <w:sz w:val="20"/>
          <w:szCs w:val="20"/>
          <w:color w:val="auto"/>
        </w:rPr>
      </w:pPr>
      <w:r>
        <w:rPr>
          <w:rFonts w:ascii="Arial" w:cs="Arial" w:eastAsia="Arial" w:hAnsi="Arial"/>
          <w:sz w:val="20"/>
          <w:szCs w:val="20"/>
          <w:color w:val="auto"/>
        </w:rPr>
        <w:t>While the Company has a class of securities listed on the NYSE or another national securities exchange or a national securities association; and</w:t>
      </w:r>
    </w:p>
    <w:p>
      <w:pPr>
        <w:spacing w:after="0" w:line="154" w:lineRule="exact"/>
        <w:rPr>
          <w:rFonts w:ascii="Times New Roman" w:cs="Times New Roman" w:eastAsia="Times New Roman" w:hAnsi="Times New Roman"/>
          <w:sz w:val="20"/>
          <w:szCs w:val="20"/>
          <w:color w:val="auto"/>
        </w:rPr>
      </w:pPr>
    </w:p>
    <w:p>
      <w:pPr>
        <w:jc w:val="both"/>
        <w:ind w:left="980" w:hanging="650"/>
        <w:spacing w:after="0" w:line="251" w:lineRule="auto"/>
        <w:tabs>
          <w:tab w:leader="none" w:pos="968" w:val="left"/>
        </w:tabs>
        <w:numPr>
          <w:ilvl w:val="0"/>
          <w:numId w:val="70"/>
        </w:numPr>
        <w:rPr>
          <w:rFonts w:ascii="Times New Roman" w:cs="Times New Roman" w:eastAsia="Times New Roman" w:hAnsi="Times New Roman"/>
          <w:sz w:val="20"/>
          <w:szCs w:val="20"/>
          <w:color w:val="auto"/>
        </w:rPr>
      </w:pPr>
      <w:r>
        <w:rPr>
          <w:rFonts w:ascii="Arial" w:cs="Arial" w:eastAsia="Arial" w:hAnsi="Arial"/>
          <w:sz w:val="20"/>
          <w:szCs w:val="20"/>
          <w:color w:val="auto"/>
        </w:rPr>
        <w:t>During the three completed fiscal years immediately preceding the date that the Company is required to prepare a Restatement (as defined below), plus any transition period (that results from a change in the Company’s fiscal year) within or immediately following those three completed fiscal years; provided, however, that a transition period between the last day of the Company’s previous fiscal year end and the first day of its new fiscal year that comprises a period of nine to 12 months would be deemed a completed fiscal year; and provided, further, that the Company’s obligation to recover erroneously awarded compensation is not dependent on if or when the restated financial statements are filed.</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For purposes of this Policy, a “</w:t>
      </w:r>
      <w:r>
        <w:rPr>
          <w:rFonts w:ascii="Arial" w:cs="Arial" w:eastAsia="Arial" w:hAnsi="Arial"/>
          <w:sz w:val="20"/>
          <w:szCs w:val="20"/>
          <w:u w:val="single" w:color="auto"/>
          <w:color w:val="auto"/>
        </w:rPr>
        <w:t>Restatement</w:t>
      </w:r>
      <w:r>
        <w:rPr>
          <w:rFonts w:ascii="Arial" w:cs="Arial" w:eastAsia="Arial" w:hAnsi="Arial"/>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Effective Date: 01/22/25 </w:t>
      </w:r>
      <w:r>
        <w:rPr>
          <w:rFonts w:ascii="Arial" w:cs="Arial" w:eastAsia="Arial" w:hAnsi="Arial"/>
          <w:sz w:val="16"/>
          <w:szCs w:val="16"/>
          <w:b w:val="1"/>
          <w:bCs w:val="1"/>
          <w:color w:val="CD1F20"/>
        </w:rPr>
        <w:t>|</w:t>
      </w:r>
      <w:r>
        <w:rPr>
          <w:rFonts w:ascii="Arial" w:cs="Arial" w:eastAsia="Arial" w:hAnsi="Arial"/>
          <w:sz w:val="16"/>
          <w:szCs w:val="16"/>
          <w:color w:val="auto"/>
        </w:rPr>
        <w:t xml:space="preserve"> Replaces Policy Dated: 10/02/23 </w:t>
      </w:r>
      <w:r>
        <w:rPr>
          <w:rFonts w:ascii="Arial" w:cs="Arial" w:eastAsia="Arial" w:hAnsi="Arial"/>
          <w:sz w:val="16"/>
          <w:szCs w:val="16"/>
          <w:b w:val="1"/>
          <w:bCs w:val="1"/>
          <w:color w:val="CD1F20"/>
        </w:rPr>
        <w:t>|</w:t>
      </w:r>
      <w:r>
        <w:rPr>
          <w:rFonts w:ascii="Arial" w:cs="Arial" w:eastAsia="Arial" w:hAnsi="Arial"/>
          <w:sz w:val="16"/>
          <w:szCs w:val="16"/>
          <w:color w:val="auto"/>
        </w:rPr>
        <w:t xml:space="preserve"> Last Review Date: 01/22/25</w:t>
      </w:r>
    </w:p>
    <w:p>
      <w:pPr>
        <w:sectPr>
          <w:pgSz w:w="11900" w:h="16838" w:orient="portrait"/>
          <w:cols w:equalWidth="0" w:num="1">
            <w:col w:w="10340"/>
          </w:cols>
          <w:pgMar w:left="1060" w:top="1252" w:right="499" w:bottom="1440" w:gutter="0" w:footer="0" w:header="0"/>
        </w:sectPr>
      </w:pPr>
    </w:p>
    <w:bookmarkStart w:id="124" w:name="page125"/>
    <w:bookmarkEnd w:id="124"/>
    <w:p>
      <w:pPr>
        <w:jc w:val="both"/>
        <w:spacing w:after="0" w:line="265" w:lineRule="auto"/>
        <w:rPr>
          <w:sz w:val="20"/>
          <w:szCs w:val="20"/>
          <w:color w:val="auto"/>
        </w:rPr>
      </w:pPr>
      <w:r>
        <w:rPr>
          <w:rFonts w:ascii="Arial" w:cs="Arial" w:eastAsia="Arial" w:hAnsi="Arial"/>
          <w:sz w:val="20"/>
          <w:szCs w:val="20"/>
          <w:color w:val="auto"/>
        </w:rPr>
        <w:t>For purpose of determining the relevant recovery period, the date that the Company is required to prepare a Restatement is the earlier to occur of: (i) the date the Company’s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4A4F53"/>
        </w:rPr>
        <w:t>Discretionary Authority to Recover Incentive Compensation From Covered Employees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the event the Committee determines that a financial metric used to determine the vesting or payment of Incentive Compensation to a Covered Employee was calculated incorrectly, whether or not the Company is required to restate its financial statements, and without regard to whether such miscalculation was due to fraud or intentional misconduct, then the Committee may require (but is not obligated to require) reimbursement of certain Incentive Compensation received by such Covered Employee during the three-year period preceding the date on which the Company discovers the error or is required to prepare an accounting restatement, and/or authorize the cancellation of unpaid or unvested Incentive Compensation, as determined by the Committee pursuant to this Policy.</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addition, if the Committee determines that the Covered Employee has engaged in egregious conduct that is substantially detrimental to the Company, the Committee may require (but is not obligated to require) the Covered Employee to reimburse the Company for all or a portion of Incentive Compensation previously vested or paid to such Covered Employee during the one- year period preceding the date on which the Company discovers such conduct and/or authorize the cancellation of unpaid or unvested Incentive Compensation, as determined by the Committee pursuant to this Policy. “Egregious conduct substantially detrimental to the Company” will mean any one of the following:</w:t>
      </w:r>
    </w:p>
    <w:p>
      <w:pPr>
        <w:spacing w:after="0" w:line="99" w:lineRule="exact"/>
        <w:rPr>
          <w:sz w:val="20"/>
          <w:szCs w:val="20"/>
          <w:color w:val="auto"/>
        </w:rPr>
      </w:pPr>
    </w:p>
    <w:p>
      <w:pPr>
        <w:ind w:left="980" w:hanging="326"/>
        <w:spacing w:after="0" w:line="271" w:lineRule="auto"/>
        <w:tabs>
          <w:tab w:leader="none" w:pos="968" w:val="left"/>
        </w:tabs>
        <w:numPr>
          <w:ilvl w:val="0"/>
          <w:numId w:val="71"/>
        </w:numPr>
        <w:rPr>
          <w:rFonts w:ascii="Times New Roman" w:cs="Times New Roman" w:eastAsia="Times New Roman" w:hAnsi="Times New Roman"/>
          <w:sz w:val="20"/>
          <w:szCs w:val="20"/>
          <w:color w:val="auto"/>
        </w:rPr>
      </w:pPr>
      <w:r>
        <w:rPr>
          <w:rFonts w:ascii="Arial" w:cs="Arial" w:eastAsia="Arial" w:hAnsi="Arial"/>
          <w:sz w:val="20"/>
          <w:szCs w:val="20"/>
          <w:color w:val="auto"/>
        </w:rPr>
        <w:t>any act or omission which would constitute “Cause” for termination under the terms of the Covered Employee’s employment agreement, if any;</w:t>
      </w:r>
    </w:p>
    <w:p>
      <w:pPr>
        <w:spacing w:after="0" w:line="154" w:lineRule="exact"/>
        <w:rPr>
          <w:rFonts w:ascii="Times New Roman" w:cs="Times New Roman" w:eastAsia="Times New Roman" w:hAnsi="Times New Roman"/>
          <w:sz w:val="20"/>
          <w:szCs w:val="20"/>
          <w:color w:val="auto"/>
        </w:rPr>
      </w:pPr>
    </w:p>
    <w:p>
      <w:pPr>
        <w:ind w:left="980" w:right="20" w:hanging="326"/>
        <w:spacing w:after="0" w:line="271" w:lineRule="auto"/>
        <w:tabs>
          <w:tab w:leader="none" w:pos="968" w:val="left"/>
        </w:tabs>
        <w:numPr>
          <w:ilvl w:val="0"/>
          <w:numId w:val="71"/>
        </w:numPr>
        <w:rPr>
          <w:rFonts w:ascii="Times New Roman" w:cs="Times New Roman" w:eastAsia="Times New Roman" w:hAnsi="Times New Roman"/>
          <w:sz w:val="20"/>
          <w:szCs w:val="20"/>
          <w:color w:val="auto"/>
        </w:rPr>
      </w:pPr>
      <w:r>
        <w:rPr>
          <w:rFonts w:ascii="Arial" w:cs="Arial" w:eastAsia="Arial" w:hAnsi="Arial"/>
          <w:sz w:val="20"/>
          <w:szCs w:val="20"/>
          <w:color w:val="auto"/>
        </w:rPr>
        <w:t>the material breach of a written policy applicable to the Covered Employee, including, but not limited to, the Code of Conduct;</w:t>
      </w:r>
    </w:p>
    <w:p>
      <w:pPr>
        <w:spacing w:after="0" w:line="154" w:lineRule="exact"/>
        <w:rPr>
          <w:rFonts w:ascii="Times New Roman" w:cs="Times New Roman" w:eastAsia="Times New Roman" w:hAnsi="Times New Roman"/>
          <w:sz w:val="20"/>
          <w:szCs w:val="20"/>
          <w:color w:val="auto"/>
        </w:rPr>
      </w:pPr>
    </w:p>
    <w:p>
      <w:pPr>
        <w:jc w:val="both"/>
        <w:ind w:left="980" w:hanging="326"/>
        <w:spacing w:after="0" w:line="248" w:lineRule="auto"/>
        <w:tabs>
          <w:tab w:leader="none" w:pos="968" w:val="left"/>
        </w:tabs>
        <w:numPr>
          <w:ilvl w:val="0"/>
          <w:numId w:val="71"/>
        </w:numPr>
        <w:rPr>
          <w:rFonts w:ascii="Times New Roman" w:cs="Times New Roman" w:eastAsia="Times New Roman" w:hAnsi="Times New Roman"/>
          <w:sz w:val="20"/>
          <w:szCs w:val="20"/>
          <w:color w:val="auto"/>
        </w:rPr>
      </w:pPr>
      <w:r>
        <w:rPr>
          <w:rFonts w:ascii="Arial" w:cs="Arial" w:eastAsia="Arial" w:hAnsi="Arial"/>
          <w:sz w:val="20"/>
          <w:szCs w:val="20"/>
          <w:color w:val="auto"/>
        </w:rPr>
        <w:t>the material breach of any non-competition, non-solicitation or confidentiality agreement or agreement governing the ownership or assignment of intellectual property rights with the Company that is applicable to the Covered Employee;</w:t>
      </w:r>
    </w:p>
    <w:p>
      <w:pPr>
        <w:spacing w:after="0" w:line="177" w:lineRule="exact"/>
        <w:rPr>
          <w:rFonts w:ascii="Times New Roman" w:cs="Times New Roman" w:eastAsia="Times New Roman" w:hAnsi="Times New Roman"/>
          <w:sz w:val="20"/>
          <w:szCs w:val="20"/>
          <w:color w:val="auto"/>
        </w:rPr>
      </w:pPr>
    </w:p>
    <w:p>
      <w:pPr>
        <w:jc w:val="both"/>
        <w:ind w:left="980" w:hanging="326"/>
        <w:spacing w:after="0" w:line="259" w:lineRule="auto"/>
        <w:tabs>
          <w:tab w:leader="none" w:pos="968" w:val="left"/>
        </w:tabs>
        <w:numPr>
          <w:ilvl w:val="0"/>
          <w:numId w:val="71"/>
        </w:numPr>
        <w:rPr>
          <w:rFonts w:ascii="Times New Roman" w:cs="Times New Roman" w:eastAsia="Times New Roman" w:hAnsi="Times New Roman"/>
          <w:sz w:val="20"/>
          <w:szCs w:val="20"/>
          <w:color w:val="auto"/>
        </w:rPr>
      </w:pPr>
      <w:r>
        <w:rPr>
          <w:rFonts w:ascii="Arial" w:cs="Arial" w:eastAsia="Arial" w:hAnsi="Arial"/>
          <w:sz w:val="20"/>
          <w:szCs w:val="20"/>
          <w:color w:val="auto"/>
        </w:rPr>
        <w:t>egregious misconduct by the Covered Employee including, but not limited to, fraud, criminal activities, falsification of Company records, theft, violent acts or threats of violence, or a violation of law, unethical conduct or inappropriate behavior that causes substantial reputational harm to the Company or exposes the Company to substantial legal liability; or</w:t>
      </w:r>
    </w:p>
    <w:p>
      <w:pPr>
        <w:spacing w:after="0" w:line="194" w:lineRule="exact"/>
        <w:rPr>
          <w:rFonts w:ascii="Times New Roman" w:cs="Times New Roman" w:eastAsia="Times New Roman" w:hAnsi="Times New Roman"/>
          <w:sz w:val="20"/>
          <w:szCs w:val="20"/>
          <w:color w:val="auto"/>
        </w:rPr>
      </w:pPr>
    </w:p>
    <w:p>
      <w:pPr>
        <w:ind w:left="980" w:hanging="326"/>
        <w:spacing w:after="0" w:line="234" w:lineRule="auto"/>
        <w:tabs>
          <w:tab w:leader="none" w:pos="968"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commission of an act or omission which causes the Covered Employee or the Company to be in violation of federal or state securities laws, rules or regulations.</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the event a recovery under this section of this Policy is triggered by an incorrect financial metric used to determine the vesting or payment of Incentive Compensation to a Covered Employee, then the recovery amount will be up to the amount of Incentive Compensation received by the Covered Employee that exceeds the amount of Incentive Compensation that otherwise would have been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Effective Date: 01/22/25 </w:t>
      </w:r>
      <w:r>
        <w:rPr>
          <w:rFonts w:ascii="Arial" w:cs="Arial" w:eastAsia="Arial" w:hAnsi="Arial"/>
          <w:sz w:val="16"/>
          <w:szCs w:val="16"/>
          <w:b w:val="1"/>
          <w:bCs w:val="1"/>
          <w:color w:val="CD1F20"/>
        </w:rPr>
        <w:t>|</w:t>
      </w:r>
      <w:r>
        <w:rPr>
          <w:rFonts w:ascii="Arial" w:cs="Arial" w:eastAsia="Arial" w:hAnsi="Arial"/>
          <w:sz w:val="16"/>
          <w:szCs w:val="16"/>
          <w:color w:val="auto"/>
        </w:rPr>
        <w:t xml:space="preserve"> Replaces Policy Dated: 10/02/23 </w:t>
      </w:r>
      <w:r>
        <w:rPr>
          <w:rFonts w:ascii="Arial" w:cs="Arial" w:eastAsia="Arial" w:hAnsi="Arial"/>
          <w:sz w:val="16"/>
          <w:szCs w:val="16"/>
          <w:b w:val="1"/>
          <w:bCs w:val="1"/>
          <w:color w:val="CD1F20"/>
        </w:rPr>
        <w:t>|</w:t>
      </w:r>
      <w:r>
        <w:rPr>
          <w:rFonts w:ascii="Arial" w:cs="Arial" w:eastAsia="Arial" w:hAnsi="Arial"/>
          <w:sz w:val="16"/>
          <w:szCs w:val="16"/>
          <w:color w:val="auto"/>
        </w:rPr>
        <w:t xml:space="preserve"> Last Review Date: 01/22/25</w:t>
      </w:r>
    </w:p>
    <w:p>
      <w:pPr>
        <w:sectPr>
          <w:pgSz w:w="11900" w:h="16838" w:orient="portrait"/>
          <w:cols w:equalWidth="0" w:num="1">
            <w:col w:w="10340"/>
          </w:cols>
          <w:pgMar w:left="1060" w:top="1022" w:right="499" w:bottom="1440" w:gutter="0" w:footer="0" w:header="0"/>
        </w:sectPr>
      </w:pPr>
    </w:p>
    <w:bookmarkStart w:id="125" w:name="page126"/>
    <w:bookmarkEnd w:id="125"/>
    <w:p>
      <w:pPr>
        <w:jc w:val="both"/>
        <w:ind w:right="40"/>
        <w:spacing w:after="0" w:line="300" w:lineRule="auto"/>
        <w:rPr>
          <w:sz w:val="20"/>
          <w:szCs w:val="20"/>
          <w:color w:val="auto"/>
        </w:rPr>
      </w:pPr>
      <w:r>
        <w:rPr>
          <w:rFonts w:ascii="Arial" w:cs="Arial" w:eastAsia="Arial" w:hAnsi="Arial"/>
          <w:sz w:val="20"/>
          <w:szCs w:val="20"/>
          <w:color w:val="auto"/>
        </w:rPr>
        <w:t>received based on the correct financial metric or restated results, as determined by the Committee in its sole discretion.</w:t>
      </w:r>
    </w:p>
    <w:p>
      <w:pPr>
        <w:spacing w:after="0" w:line="73" w:lineRule="exact"/>
        <w:rPr>
          <w:sz w:val="20"/>
          <w:szCs w:val="20"/>
          <w:color w:val="auto"/>
        </w:rPr>
      </w:pPr>
    </w:p>
    <w:p>
      <w:pPr>
        <w:jc w:val="both"/>
        <w:ind w:right="40"/>
        <w:spacing w:after="0" w:line="276" w:lineRule="auto"/>
        <w:rPr>
          <w:sz w:val="20"/>
          <w:szCs w:val="20"/>
          <w:color w:val="auto"/>
        </w:rPr>
      </w:pPr>
      <w:r>
        <w:rPr>
          <w:rFonts w:ascii="Arial" w:cs="Arial" w:eastAsia="Arial" w:hAnsi="Arial"/>
          <w:sz w:val="20"/>
          <w:szCs w:val="20"/>
          <w:color w:val="auto"/>
        </w:rPr>
        <w:t>In the event a recovery under this section of this Policy is triggered by egregious conduct substantially detrimental to the Company by the Covered Employee, then the Committee will determine the amount of Incentive Compensation to recover from such Covered Employee based on the following factors:</w:t>
      </w:r>
    </w:p>
    <w:p>
      <w:pPr>
        <w:spacing w:after="0" w:line="71" w:lineRule="exact"/>
        <w:rPr>
          <w:sz w:val="20"/>
          <w:szCs w:val="20"/>
          <w:color w:val="auto"/>
        </w:rPr>
      </w:pPr>
    </w:p>
    <w:p>
      <w:pPr>
        <w:jc w:val="both"/>
        <w:ind w:left="980" w:right="40" w:hanging="326"/>
        <w:spacing w:after="0" w:line="269" w:lineRule="auto"/>
        <w:tabs>
          <w:tab w:leader="none" w:pos="968"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the amount of Incentive Compensation received by the Covered Employee that exceeds the amount of Incentive Compensation that otherwise would have been received or granted had the Covered Employee’s egregious conduct substantially detrimental to the Company been known;</w:t>
      </w:r>
    </w:p>
    <w:p>
      <w:pPr>
        <w:spacing w:after="0" w:line="157" w:lineRule="exact"/>
        <w:rPr>
          <w:rFonts w:ascii="Times New Roman" w:cs="Times New Roman" w:eastAsia="Times New Roman" w:hAnsi="Times New Roman"/>
          <w:sz w:val="20"/>
          <w:szCs w:val="20"/>
          <w:color w:val="auto"/>
        </w:rPr>
      </w:pPr>
    </w:p>
    <w:p>
      <w:pPr>
        <w:ind w:left="960" w:hanging="306"/>
        <w:spacing w:after="0"/>
        <w:tabs>
          <w:tab w:leader="none" w:pos="96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the relative fault or degree of involvement by the Covered Employee;</w:t>
      </w:r>
    </w:p>
    <w:p>
      <w:pPr>
        <w:spacing w:after="0" w:line="228" w:lineRule="exact"/>
        <w:rPr>
          <w:rFonts w:ascii="Times New Roman" w:cs="Times New Roman" w:eastAsia="Times New Roman" w:hAnsi="Times New Roman"/>
          <w:sz w:val="20"/>
          <w:szCs w:val="20"/>
          <w:color w:val="auto"/>
        </w:rPr>
      </w:pPr>
    </w:p>
    <w:p>
      <w:pPr>
        <w:ind w:left="960" w:hanging="306"/>
        <w:spacing w:after="0"/>
        <w:tabs>
          <w:tab w:leader="none" w:pos="96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the overall work performance of the Covered Employee;</w:t>
      </w:r>
    </w:p>
    <w:p>
      <w:pPr>
        <w:spacing w:after="0" w:line="214" w:lineRule="exact"/>
        <w:rPr>
          <w:rFonts w:ascii="Times New Roman" w:cs="Times New Roman" w:eastAsia="Times New Roman" w:hAnsi="Times New Roman"/>
          <w:sz w:val="20"/>
          <w:szCs w:val="20"/>
          <w:color w:val="auto"/>
        </w:rPr>
      </w:pPr>
    </w:p>
    <w:p>
      <w:pPr>
        <w:ind w:left="980" w:right="40" w:hanging="326"/>
        <w:spacing w:after="0" w:line="271" w:lineRule="auto"/>
        <w:tabs>
          <w:tab w:leader="none" w:pos="968"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the relative impact of the Covered Employee’s conduct on the Company and the magnitude of any restatement, loss or variance from budget or plan;</w:t>
      </w:r>
    </w:p>
    <w:p>
      <w:pPr>
        <w:spacing w:after="0" w:line="154" w:lineRule="exact"/>
        <w:rPr>
          <w:rFonts w:ascii="Times New Roman" w:cs="Times New Roman" w:eastAsia="Times New Roman" w:hAnsi="Times New Roman"/>
          <w:sz w:val="20"/>
          <w:szCs w:val="20"/>
          <w:color w:val="auto"/>
        </w:rPr>
      </w:pPr>
    </w:p>
    <w:p>
      <w:pPr>
        <w:jc w:val="both"/>
        <w:ind w:left="980" w:right="40" w:hanging="326"/>
        <w:spacing w:after="0" w:line="259" w:lineRule="auto"/>
        <w:tabs>
          <w:tab w:leader="none" w:pos="968"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the cost or difficulty of obtaining recovery, including but not limited to whether the Covered Employee has any outstanding equity-based awards that may be cancelled, whether the Covered Employee continues to be employed by the Company or its subsidiaries, and the language of this Policy in effect on the relevant date; and/or</w:t>
      </w:r>
    </w:p>
    <w:p>
      <w:pPr>
        <w:spacing w:after="0" w:line="167" w:lineRule="exact"/>
        <w:rPr>
          <w:rFonts w:ascii="Times New Roman" w:cs="Times New Roman" w:eastAsia="Times New Roman" w:hAnsi="Times New Roman"/>
          <w:sz w:val="20"/>
          <w:szCs w:val="20"/>
          <w:color w:val="auto"/>
        </w:rPr>
      </w:pPr>
    </w:p>
    <w:p>
      <w:pPr>
        <w:ind w:left="960" w:hanging="306"/>
        <w:spacing w:after="0"/>
        <w:tabs>
          <w:tab w:leader="none" w:pos="96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any other facts and circumstances determined relevant by the Committee, in its sole discretion.</w:t>
      </w:r>
    </w:p>
    <w:p>
      <w:pPr>
        <w:spacing w:after="0" w:line="221" w:lineRule="exact"/>
        <w:rPr>
          <w:sz w:val="20"/>
          <w:szCs w:val="20"/>
          <w:color w:val="auto"/>
        </w:rPr>
      </w:pPr>
    </w:p>
    <w:p>
      <w:pPr>
        <w:spacing w:after="0" w:line="298" w:lineRule="auto"/>
        <w:rPr>
          <w:sz w:val="20"/>
          <w:szCs w:val="20"/>
          <w:color w:val="auto"/>
        </w:rPr>
      </w:pPr>
      <w:r>
        <w:rPr>
          <w:rFonts w:ascii="Arial" w:cs="Arial" w:eastAsia="Arial" w:hAnsi="Arial"/>
          <w:sz w:val="22"/>
          <w:szCs w:val="22"/>
          <w:b w:val="1"/>
          <w:bCs w:val="1"/>
          <w:color w:val="4A4F53"/>
        </w:rPr>
        <w:t>Mandatory Authority and Obligation to Recover Erroneously Awarded Compensation From Executive Officers</w:t>
      </w:r>
    </w:p>
    <w:p>
      <w:pPr>
        <w:spacing w:after="0" w:line="67"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In the event of a Restatement and if required under Section 303A.14 of the NYSE Listed Company Manual, the Company must reasonably promptly recover any Erroneously Awarded Compensation (as defined below) in compliance with this Policy and Section 303A.14 of the NYSE Listed Company Manual, except to the extent one of the three conditions below is met and the Committee has made a determination that recovery would be impracticable.</w:t>
      </w:r>
    </w:p>
    <w:p>
      <w:pPr>
        <w:spacing w:after="0" w:line="75" w:lineRule="exact"/>
        <w:rPr>
          <w:sz w:val="20"/>
          <w:szCs w:val="20"/>
          <w:color w:val="auto"/>
        </w:rPr>
      </w:pPr>
    </w:p>
    <w:p>
      <w:pPr>
        <w:jc w:val="both"/>
        <w:ind w:left="980" w:right="40" w:hanging="650"/>
        <w:spacing w:after="0" w:line="259" w:lineRule="auto"/>
        <w:tabs>
          <w:tab w:leader="none" w:pos="968"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The direct expense paid to a third party to assist in enforcing this Policy would exceed the amount to be recovered and the Company has made a reasonable attempt to recover any amount of erroneously awarded compensation, has documented such reasonable attempt(s) to recover and provided that documentation to the NYSE.</w:t>
      </w:r>
    </w:p>
    <w:p>
      <w:pPr>
        <w:spacing w:after="0" w:line="167" w:lineRule="exact"/>
        <w:rPr>
          <w:rFonts w:ascii="Times New Roman" w:cs="Times New Roman" w:eastAsia="Times New Roman" w:hAnsi="Times New Roman"/>
          <w:sz w:val="20"/>
          <w:szCs w:val="20"/>
          <w:color w:val="auto"/>
        </w:rPr>
      </w:pPr>
    </w:p>
    <w:p>
      <w:pPr>
        <w:jc w:val="both"/>
        <w:ind w:left="980" w:right="40" w:hanging="650"/>
        <w:spacing w:after="0" w:line="262" w:lineRule="auto"/>
        <w:tabs>
          <w:tab w:leader="none" w:pos="968"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Recovery would violate home country law where that law was adopted prior to November 28, 2022 and the Company has obtained an opinion of home country counsel, acceptable to the NYSE, that recovery would result in such a violation and has provided such opinion to the NYSE.</w:t>
      </w:r>
    </w:p>
    <w:p>
      <w:pPr>
        <w:spacing w:after="0" w:line="177" w:lineRule="exact"/>
        <w:rPr>
          <w:rFonts w:ascii="Times New Roman" w:cs="Times New Roman" w:eastAsia="Times New Roman" w:hAnsi="Times New Roman"/>
          <w:sz w:val="20"/>
          <w:szCs w:val="20"/>
          <w:color w:val="auto"/>
        </w:rPr>
      </w:pPr>
    </w:p>
    <w:p>
      <w:pPr>
        <w:jc w:val="both"/>
        <w:ind w:left="980" w:right="40" w:hanging="650"/>
        <w:spacing w:after="0" w:line="262" w:lineRule="auto"/>
        <w:tabs>
          <w:tab w:leader="none" w:pos="968"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Recovery would likely cause an otherwise tax-qualified retirement plan, under which benefits are broadly available to employees of the Company, to fail to meet the requirements of Section 401(a)(13) or 411(a) of the U.S. Internal Revenue Code and regulations thereunder.</w:t>
      </w:r>
    </w:p>
    <w:p>
      <w:pPr>
        <w:spacing w:after="0" w:line="218"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Erroneously Awarded Compensation</w:t>
      </w:r>
      <w:r>
        <w:rPr>
          <w:rFonts w:ascii="Arial" w:cs="Arial" w:eastAsia="Arial" w:hAnsi="Arial"/>
          <w:sz w:val="20"/>
          <w:szCs w:val="20"/>
          <w:color w:val="auto"/>
        </w:rPr>
        <w:t>” as used in this Policy means that amount of Incentive-Based Compensation Received (as such terms are defined below) that exceeds the</w:t>
      </w:r>
    </w:p>
    <w:p>
      <w:pPr>
        <w:spacing w:after="0" w:line="200" w:lineRule="exact"/>
        <w:rPr>
          <w:sz w:val="20"/>
          <w:szCs w:val="20"/>
          <w:color w:val="auto"/>
        </w:rPr>
      </w:pPr>
    </w:p>
    <w:p>
      <w:pPr>
        <w:spacing w:after="0" w:line="3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Effective Date: 01/22/25 </w:t>
      </w:r>
      <w:r>
        <w:rPr>
          <w:rFonts w:ascii="Arial" w:cs="Arial" w:eastAsia="Arial" w:hAnsi="Arial"/>
          <w:sz w:val="16"/>
          <w:szCs w:val="16"/>
          <w:b w:val="1"/>
          <w:bCs w:val="1"/>
          <w:color w:val="CD1F20"/>
        </w:rPr>
        <w:t>|</w:t>
      </w:r>
      <w:r>
        <w:rPr>
          <w:rFonts w:ascii="Arial" w:cs="Arial" w:eastAsia="Arial" w:hAnsi="Arial"/>
          <w:sz w:val="16"/>
          <w:szCs w:val="16"/>
          <w:color w:val="auto"/>
        </w:rPr>
        <w:t xml:space="preserve"> Replaces Policy Dated: 10/02/23 </w:t>
      </w:r>
      <w:r>
        <w:rPr>
          <w:rFonts w:ascii="Arial" w:cs="Arial" w:eastAsia="Arial" w:hAnsi="Arial"/>
          <w:sz w:val="16"/>
          <w:szCs w:val="16"/>
          <w:b w:val="1"/>
          <w:bCs w:val="1"/>
          <w:color w:val="CD1F20"/>
        </w:rPr>
        <w:t>|</w:t>
      </w:r>
      <w:r>
        <w:rPr>
          <w:rFonts w:ascii="Arial" w:cs="Arial" w:eastAsia="Arial" w:hAnsi="Arial"/>
          <w:sz w:val="16"/>
          <w:szCs w:val="16"/>
          <w:color w:val="auto"/>
        </w:rPr>
        <w:t xml:space="preserve"> Last Review Date: 01/22/25</w:t>
      </w:r>
    </w:p>
    <w:p>
      <w:pPr>
        <w:sectPr>
          <w:pgSz w:w="11900" w:h="16838" w:orient="portrait"/>
          <w:cols w:equalWidth="0" w:num="1">
            <w:col w:w="10380"/>
          </w:cols>
          <w:pgMar w:left="1060" w:top="1238" w:right="459" w:bottom="1440" w:gutter="0" w:footer="0" w:header="0"/>
        </w:sectPr>
      </w:pPr>
    </w:p>
    <w:bookmarkStart w:id="126" w:name="page127"/>
    <w:bookmarkEnd w:id="126"/>
    <w:p>
      <w:pPr>
        <w:jc w:val="both"/>
        <w:spacing w:after="0" w:line="286" w:lineRule="auto"/>
        <w:rPr>
          <w:sz w:val="20"/>
          <w:szCs w:val="20"/>
          <w:color w:val="auto"/>
        </w:rPr>
      </w:pPr>
      <w:r>
        <w:rPr>
          <w:rFonts w:ascii="Arial" w:cs="Arial" w:eastAsia="Arial" w:hAnsi="Arial"/>
          <w:sz w:val="20"/>
          <w:szCs w:val="20"/>
          <w:color w:val="auto"/>
        </w:rPr>
        <w:t>amount of Incentive-Based Compensation that otherwise would have been Received had it been determined based on the restated amounts, and must be computed without regard to any taxes paid.</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For Incentive-Based Compensation based on stock price or total shareholder return, where the amount of Erroneously Awarded Compensation is not subject to mathematical recalculation directly from the information in a Restatement the amount must be based on a reasonable estimate of the effect of the Restatement on the stock price or total shareholder return upon which the Incentive-based Compensation was Received. The Company must maintain documentation of the determination of that reasonable estimate and provide such documentation to the NYSE.</w:t>
      </w:r>
    </w:p>
    <w:p>
      <w:pPr>
        <w:spacing w:after="0" w:line="7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Incentive-Based Compensation</w:t>
      </w:r>
      <w:r>
        <w:rPr>
          <w:rFonts w:ascii="Arial" w:cs="Arial" w:eastAsia="Arial" w:hAnsi="Arial"/>
          <w:sz w:val="20"/>
          <w:szCs w:val="20"/>
          <w:color w:val="auto"/>
        </w:rPr>
        <w:t>” as used in this Policy means any compensation that is granted, earned or vested based wholly or in part upon the attainment of a financial reporting measure.</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Financial Reporting Measures</w:t>
      </w:r>
      <w:r>
        <w:rPr>
          <w:rFonts w:ascii="Arial" w:cs="Arial" w:eastAsia="Arial" w:hAnsi="Arial"/>
          <w:sz w:val="20"/>
          <w:szCs w:val="20"/>
          <w:color w:val="auto"/>
        </w:rPr>
        <w:t>” as used in this Policy means measures that are determined and presented in accordance with the accounting principles used in preparing the Company’s financial statements, and any measures that are derived wholly or in part from such measures. Financial reporting measures include, without limitation, stock price and total shareholder return, and may include non-GAAP financial measures. A financial reporting measure need not be presented within the Company’s financial statements or included in an SEC filing to constitute a financial reporting measure for this purpose.</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Incentive-Based Compensation is deemed “</w:t>
      </w:r>
      <w:r>
        <w:rPr>
          <w:rFonts w:ascii="Arial" w:cs="Arial" w:eastAsia="Arial" w:hAnsi="Arial"/>
          <w:sz w:val="20"/>
          <w:szCs w:val="20"/>
          <w:u w:val="single" w:color="auto"/>
          <w:color w:val="auto"/>
        </w:rPr>
        <w:t>Received</w:t>
      </w:r>
      <w:r>
        <w:rPr>
          <w:rFonts w:ascii="Arial" w:cs="Arial" w:eastAsia="Arial" w:hAnsi="Arial"/>
          <w:sz w:val="20"/>
          <w:szCs w:val="20"/>
          <w:color w:val="auto"/>
        </w:rPr>
        <w:t>” as such term is used in this Policy by an Executive Officer in the Company’s fiscal period during which the financial reporting measure specified in the Incentive-Based Compensation award is attained, even if the payment or grant of the Incentive-Based Compensation occurs after the end of that period.</w:t>
      </w:r>
    </w:p>
    <w:p>
      <w:pPr>
        <w:spacing w:after="0" w:line="10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Notwithstanding the generality of the foregoing, “Incentive-Based Compensation” is intended to be interpreted and construed broadly and includes with respect to any plan that takes into account incentive-based compensation (other than a tax-qualified plan) any amount contributed to a notional account based on erroneously awarded compensation and any earnings accrued to date on that notional account. Such plans include without limitation long-term disability plans, life insurance plans, supplemental executive retirement plans and other compensation, if it is based on incentive-based 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4A4F53"/>
        </w:rPr>
        <w:t>Method of Recovery</w:t>
      </w:r>
    </w:p>
    <w:p>
      <w:pPr>
        <w:spacing w:after="0" w:line="172"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The Committee will determine, in its sole discretion, the method for recovering Incentive Compensation or Erroneously Awarded Compensation hereunder, which may include, without limitation, any one or more of the following:</w:t>
      </w:r>
    </w:p>
    <w:p>
      <w:pPr>
        <w:spacing w:after="0" w:line="65" w:lineRule="exact"/>
        <w:rPr>
          <w:sz w:val="20"/>
          <w:szCs w:val="20"/>
          <w:color w:val="auto"/>
        </w:rPr>
      </w:pPr>
    </w:p>
    <w:p>
      <w:pPr>
        <w:ind w:left="960" w:hanging="306"/>
        <w:spacing w:after="0"/>
        <w:tabs>
          <w:tab w:leader="none" w:pos="960" w:val="left"/>
        </w:tabs>
        <w:numPr>
          <w:ilvl w:val="0"/>
          <w:numId w:val="74"/>
        </w:numPr>
        <w:rPr>
          <w:rFonts w:ascii="Times New Roman" w:cs="Times New Roman" w:eastAsia="Times New Roman" w:hAnsi="Times New Roman"/>
          <w:sz w:val="20"/>
          <w:szCs w:val="20"/>
          <w:color w:val="auto"/>
        </w:rPr>
      </w:pPr>
      <w:r>
        <w:rPr>
          <w:rFonts w:ascii="Arial" w:cs="Arial" w:eastAsia="Arial" w:hAnsi="Arial"/>
          <w:sz w:val="20"/>
          <w:szCs w:val="20"/>
          <w:color w:val="auto"/>
        </w:rPr>
        <w:t>requiring reimbursement of cash Incentive Compensation previously paid;</w:t>
      </w:r>
    </w:p>
    <w:p>
      <w:pPr>
        <w:spacing w:after="0" w:line="214" w:lineRule="exact"/>
        <w:rPr>
          <w:rFonts w:ascii="Times New Roman" w:cs="Times New Roman" w:eastAsia="Times New Roman" w:hAnsi="Times New Roman"/>
          <w:sz w:val="20"/>
          <w:szCs w:val="20"/>
          <w:color w:val="auto"/>
        </w:rPr>
      </w:pPr>
    </w:p>
    <w:p>
      <w:pPr>
        <w:ind w:left="980" w:right="960" w:hanging="326"/>
        <w:spacing w:after="0" w:line="241" w:lineRule="auto"/>
        <w:tabs>
          <w:tab w:leader="none" w:pos="968" w:val="left"/>
        </w:tabs>
        <w:numPr>
          <w:ilvl w:val="0"/>
          <w:numId w:val="74"/>
        </w:numPr>
        <w:rPr>
          <w:rFonts w:ascii="Times New Roman" w:cs="Times New Roman" w:eastAsia="Times New Roman" w:hAnsi="Times New Roman"/>
          <w:sz w:val="20"/>
          <w:szCs w:val="20"/>
          <w:color w:val="auto"/>
        </w:rPr>
      </w:pPr>
      <w:r>
        <w:rPr>
          <w:rFonts w:ascii="Arial" w:cs="Arial" w:eastAsia="Arial" w:hAnsi="Arial"/>
          <w:sz w:val="20"/>
          <w:szCs w:val="20"/>
          <w:color w:val="auto"/>
        </w:rPr>
        <w:t>seeking recovery of any gain realized on the vesting, exercise, settlement, sale, transfer or other disposition of any equity-based awards;</w:t>
      </w:r>
    </w:p>
    <w:p>
      <w:pPr>
        <w:ind w:left="960" w:hanging="306"/>
        <w:spacing w:after="0"/>
        <w:tabs>
          <w:tab w:leader="none" w:pos="9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cancelling or rescinding some or all outstanding vested or unvested equity-based awards;</w:t>
      </w:r>
    </w:p>
    <w:p>
      <w:pPr>
        <w:spacing w:after="0" w:line="184" w:lineRule="exact"/>
        <w:rPr>
          <w:rFonts w:ascii="Arial" w:cs="Arial" w:eastAsia="Arial" w:hAnsi="Arial"/>
          <w:sz w:val="20"/>
          <w:szCs w:val="20"/>
          <w:color w:val="auto"/>
        </w:rPr>
      </w:pPr>
    </w:p>
    <w:p>
      <w:pPr>
        <w:ind w:left="960" w:hanging="306"/>
        <w:spacing w:after="0"/>
        <w:tabs>
          <w:tab w:leader="none" w:pos="960" w:val="left"/>
        </w:tabs>
        <w:numPr>
          <w:ilvl w:val="0"/>
          <w:numId w:val="74"/>
        </w:numPr>
        <w:rPr>
          <w:rFonts w:ascii="Times New Roman" w:cs="Times New Roman" w:eastAsia="Times New Roman" w:hAnsi="Times New Roman"/>
          <w:sz w:val="20"/>
          <w:szCs w:val="20"/>
          <w:color w:val="auto"/>
        </w:rPr>
      </w:pPr>
      <w:r>
        <w:rPr>
          <w:rFonts w:ascii="Arial" w:cs="Arial" w:eastAsia="Arial" w:hAnsi="Arial"/>
          <w:sz w:val="20"/>
          <w:szCs w:val="20"/>
          <w:color w:val="auto"/>
        </w:rPr>
        <w:t>adjusting or withholding from unpaid compensation or other set-off;</w:t>
      </w:r>
    </w:p>
    <w:p>
      <w:pPr>
        <w:spacing w:after="0" w:line="241" w:lineRule="exact"/>
        <w:rPr>
          <w:rFonts w:ascii="Times New Roman" w:cs="Times New Roman" w:eastAsia="Times New Roman" w:hAnsi="Times New Roman"/>
          <w:sz w:val="20"/>
          <w:szCs w:val="20"/>
          <w:color w:val="auto"/>
        </w:rPr>
      </w:pPr>
    </w:p>
    <w:p>
      <w:pPr>
        <w:ind w:left="960" w:hanging="306"/>
        <w:spacing w:after="0"/>
        <w:tabs>
          <w:tab w:leader="none" w:pos="960" w:val="left"/>
        </w:tabs>
        <w:numPr>
          <w:ilvl w:val="0"/>
          <w:numId w:val="74"/>
        </w:numPr>
        <w:rPr>
          <w:rFonts w:ascii="Times New Roman" w:cs="Times New Roman" w:eastAsia="Times New Roman" w:hAnsi="Times New Roman"/>
          <w:sz w:val="20"/>
          <w:szCs w:val="20"/>
          <w:color w:val="auto"/>
        </w:rPr>
      </w:pPr>
      <w:r>
        <w:rPr>
          <w:rFonts w:ascii="Arial" w:cs="Arial" w:eastAsia="Arial" w:hAnsi="Arial"/>
          <w:sz w:val="20"/>
          <w:szCs w:val="20"/>
          <w:color w:val="auto"/>
        </w:rPr>
        <w:t>cancelling or setting-off against planned future grants of equity-based awards; and/or</w:t>
      </w:r>
    </w:p>
    <w:p>
      <w:pPr>
        <w:spacing w:after="0" w:line="228" w:lineRule="exact"/>
        <w:rPr>
          <w:rFonts w:ascii="Times New Roman" w:cs="Times New Roman" w:eastAsia="Times New Roman" w:hAnsi="Times New Roman"/>
          <w:sz w:val="20"/>
          <w:szCs w:val="20"/>
          <w:color w:val="auto"/>
        </w:rPr>
      </w:pPr>
    </w:p>
    <w:p>
      <w:pPr>
        <w:ind w:left="960" w:hanging="306"/>
        <w:spacing w:after="0"/>
        <w:tabs>
          <w:tab w:leader="none" w:pos="960" w:val="left"/>
        </w:tabs>
        <w:numPr>
          <w:ilvl w:val="0"/>
          <w:numId w:val="74"/>
        </w:numPr>
        <w:rPr>
          <w:rFonts w:ascii="Times New Roman" w:cs="Times New Roman" w:eastAsia="Times New Roman" w:hAnsi="Times New Roman"/>
          <w:sz w:val="20"/>
          <w:szCs w:val="20"/>
          <w:color w:val="auto"/>
        </w:rPr>
      </w:pPr>
      <w:r>
        <w:rPr>
          <w:rFonts w:ascii="Arial" w:cs="Arial" w:eastAsia="Arial" w:hAnsi="Arial"/>
          <w:sz w:val="20"/>
          <w:szCs w:val="20"/>
          <w:color w:val="auto"/>
        </w:rPr>
        <w:t>any other method authorized by applicable law or contract.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Effective Date: 01/22/25 </w:t>
      </w:r>
      <w:r>
        <w:rPr>
          <w:rFonts w:ascii="Arial" w:cs="Arial" w:eastAsia="Arial" w:hAnsi="Arial"/>
          <w:sz w:val="16"/>
          <w:szCs w:val="16"/>
          <w:b w:val="1"/>
          <w:bCs w:val="1"/>
          <w:color w:val="CD1F20"/>
        </w:rPr>
        <w:t>|</w:t>
      </w:r>
      <w:r>
        <w:rPr>
          <w:rFonts w:ascii="Arial" w:cs="Arial" w:eastAsia="Arial" w:hAnsi="Arial"/>
          <w:sz w:val="16"/>
          <w:szCs w:val="16"/>
          <w:color w:val="auto"/>
        </w:rPr>
        <w:t xml:space="preserve"> Replaces Policy Dated: 10/02/23 </w:t>
      </w:r>
      <w:r>
        <w:rPr>
          <w:rFonts w:ascii="Arial" w:cs="Arial" w:eastAsia="Arial" w:hAnsi="Arial"/>
          <w:sz w:val="16"/>
          <w:szCs w:val="16"/>
          <w:b w:val="1"/>
          <w:bCs w:val="1"/>
          <w:color w:val="CD1F20"/>
        </w:rPr>
        <w:t>|</w:t>
      </w:r>
      <w:r>
        <w:rPr>
          <w:rFonts w:ascii="Arial" w:cs="Arial" w:eastAsia="Arial" w:hAnsi="Arial"/>
          <w:sz w:val="16"/>
          <w:szCs w:val="16"/>
          <w:color w:val="auto"/>
        </w:rPr>
        <w:t xml:space="preserve"> Last Review Date: 01/22/25</w:t>
      </w:r>
    </w:p>
    <w:p>
      <w:pPr>
        <w:sectPr>
          <w:pgSz w:w="11900" w:h="16838" w:orient="portrait"/>
          <w:cols w:equalWidth="0" w:num="1">
            <w:col w:w="10340"/>
          </w:cols>
          <w:pgMar w:left="1060" w:top="1022" w:right="49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b w:val="1"/>
          <w:bCs w:val="1"/>
          <w:color w:val="4A4F53"/>
        </w:rPr>
        <w:t>Enforceability</w:t>
      </w:r>
    </w:p>
    <w:p>
      <w:pPr>
        <w:spacing w:after="0" w:line="172" w:lineRule="exact"/>
        <w:rPr>
          <w:sz w:val="20"/>
          <w:szCs w:val="20"/>
          <w:color w:val="auto"/>
        </w:rPr>
      </w:pPr>
    </w:p>
    <w:p>
      <w:pPr>
        <w:jc w:val="both"/>
        <w:ind w:right="60"/>
        <w:spacing w:after="0" w:line="269" w:lineRule="auto"/>
        <w:rPr>
          <w:sz w:val="20"/>
          <w:szCs w:val="20"/>
          <w:color w:val="auto"/>
        </w:rPr>
      </w:pPr>
      <w:r>
        <w:rPr>
          <w:rFonts w:ascii="Arial" w:cs="Arial" w:eastAsia="Arial" w:hAnsi="Arial"/>
          <w:sz w:val="20"/>
          <w:szCs w:val="20"/>
          <w:color w:val="auto"/>
        </w:rPr>
        <w:t xml:space="preserve">In addition to the adoption of this Policy, the Company will take steps to implement an agreement to this Policy by all Covered Employees. In furtherance of the foregoing, each Covered Employee subject to this Policy is required to sign and return to the Company the Acknowledgement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pursuant to which such Covered Employee will agree to be bound by the terms and comply with this Policy.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4A4F53"/>
        </w:rPr>
        <w:t>Policy Not Exclusive</w:t>
      </w:r>
    </w:p>
    <w:p>
      <w:pPr>
        <w:spacing w:after="0" w:line="186" w:lineRule="exact"/>
        <w:rPr>
          <w:sz w:val="20"/>
          <w:szCs w:val="20"/>
          <w:color w:val="auto"/>
        </w:rPr>
      </w:pPr>
    </w:p>
    <w:p>
      <w:pPr>
        <w:jc w:val="both"/>
        <w:ind w:right="60"/>
        <w:spacing w:after="0" w:line="262" w:lineRule="auto"/>
        <w:rPr>
          <w:sz w:val="20"/>
          <w:szCs w:val="20"/>
          <w:color w:val="auto"/>
        </w:rPr>
      </w:pPr>
      <w:r>
        <w:rPr>
          <w:rFonts w:ascii="Arial" w:cs="Arial" w:eastAsia="Arial" w:hAnsi="Arial"/>
          <w:sz w:val="20"/>
          <w:szCs w:val="20"/>
          <w:color w:val="auto"/>
        </w:rPr>
        <w:t>Any recovery under this Policy is in addition to, and not in lieu of, any other remedies or rights of recovery that may be available to the Company pursuant to the terms of any similar policy in any employment agreement, incentive or equity compensation plan or award or other agreement and any other legal rights or remedies available to the Company. Notwithstanding the generality of the foregoing, to the extent that the requirements under the provisions of Section 304 of the Sarbanes- Oxley Act of 2002 or other applicable law are broader than the provisions in this Policy, the provisions of such law will apply.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4A4F53"/>
        </w:rPr>
        <w:t>No Indemnification</w:t>
      </w:r>
    </w:p>
    <w:p>
      <w:pPr>
        <w:spacing w:after="0" w:line="172" w:lineRule="exact"/>
        <w:rPr>
          <w:sz w:val="20"/>
          <w:szCs w:val="20"/>
          <w:color w:val="auto"/>
        </w:rPr>
      </w:pPr>
    </w:p>
    <w:p>
      <w:pPr>
        <w:jc w:val="both"/>
        <w:ind w:right="60"/>
        <w:spacing w:after="0" w:line="276" w:lineRule="auto"/>
        <w:rPr>
          <w:sz w:val="20"/>
          <w:szCs w:val="20"/>
          <w:color w:val="auto"/>
        </w:rPr>
      </w:pPr>
      <w:r>
        <w:rPr>
          <w:rFonts w:ascii="Arial" w:cs="Arial" w:eastAsia="Arial" w:hAnsi="Arial"/>
          <w:sz w:val="20"/>
          <w:szCs w:val="20"/>
          <w:color w:val="auto"/>
        </w:rPr>
        <w:t>The Company will not indemnify or agree to indemnify any Covered Employee against the loss of Erroneously Awarded Compensation or Incentive Compensation that is subject to this Policy nor will the Company pay or agree to pay any insurance premium to cover the loss of Erroneously Awarded Compensation or Incentive Compensation.</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4A4F53"/>
        </w:rPr>
        <w:t>Effective Date and Relationship to Prior Policy</w:t>
      </w:r>
    </w:p>
    <w:p>
      <w:pPr>
        <w:spacing w:after="0" w:line="159"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effective date of this Policy is October 2, 2023, and was revised on January 22, 2025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and will apply to all:</w:t>
      </w:r>
    </w:p>
    <w:p>
      <w:pPr>
        <w:spacing w:after="0" w:line="115" w:lineRule="exact"/>
        <w:rPr>
          <w:sz w:val="20"/>
          <w:szCs w:val="20"/>
          <w:color w:val="auto"/>
        </w:rPr>
      </w:pPr>
    </w:p>
    <w:p>
      <w:pPr>
        <w:jc w:val="both"/>
        <w:ind w:left="660" w:right="80" w:hanging="330"/>
        <w:spacing w:after="0" w:line="255" w:lineRule="auto"/>
        <w:tabs>
          <w:tab w:leader="none" w:pos="648" w:val="left"/>
        </w:tabs>
        <w:numPr>
          <w:ilvl w:val="0"/>
          <w:numId w:val="75"/>
        </w:numPr>
        <w:rPr>
          <w:rFonts w:ascii="Times New Roman" w:cs="Times New Roman" w:eastAsia="Times New Roman" w:hAnsi="Times New Roman"/>
          <w:sz w:val="20"/>
          <w:szCs w:val="20"/>
          <w:color w:val="auto"/>
        </w:rPr>
      </w:pPr>
      <w:r>
        <w:rPr>
          <w:rFonts w:ascii="Arial" w:cs="Arial" w:eastAsia="Arial" w:hAnsi="Arial"/>
          <w:sz w:val="20"/>
          <w:szCs w:val="20"/>
          <w:color w:val="auto"/>
        </w:rPr>
        <w:t>Incentive Compensation that is approved, awarded or granted to Covered Employees on or after the Effective Date, except as otherwise agreed by any Covered Employee or pursuant to the terms of any Company plan regarding Incentive Compensation; and</w:t>
      </w:r>
    </w:p>
    <w:p>
      <w:pPr>
        <w:spacing w:after="0" w:line="170" w:lineRule="exact"/>
        <w:rPr>
          <w:rFonts w:ascii="Times New Roman" w:cs="Times New Roman" w:eastAsia="Times New Roman" w:hAnsi="Times New Roman"/>
          <w:sz w:val="20"/>
          <w:szCs w:val="20"/>
          <w:color w:val="auto"/>
        </w:rPr>
      </w:pPr>
    </w:p>
    <w:p>
      <w:pPr>
        <w:ind w:left="660" w:right="60" w:hanging="330"/>
        <w:spacing w:after="0" w:line="271" w:lineRule="auto"/>
        <w:tabs>
          <w:tab w:leader="none" w:pos="648" w:val="left"/>
        </w:tabs>
        <w:numPr>
          <w:ilvl w:val="0"/>
          <w:numId w:val="75"/>
        </w:numPr>
        <w:rPr>
          <w:rFonts w:ascii="Times New Roman" w:cs="Times New Roman" w:eastAsia="Times New Roman" w:hAnsi="Times New Roman"/>
          <w:sz w:val="20"/>
          <w:szCs w:val="20"/>
          <w:color w:val="auto"/>
        </w:rPr>
      </w:pPr>
      <w:r>
        <w:rPr>
          <w:rFonts w:ascii="Arial" w:cs="Arial" w:eastAsia="Arial" w:hAnsi="Arial"/>
          <w:sz w:val="20"/>
          <w:szCs w:val="20"/>
          <w:color w:val="auto"/>
        </w:rPr>
        <w:t>Incentive-Based Compensation Received by the Company’s current or former Executive Officers on or after the Effective Date.</w:t>
      </w:r>
    </w:p>
    <w:p>
      <w:pPr>
        <w:spacing w:after="0" w:line="168" w:lineRule="exact"/>
        <w:rPr>
          <w:sz w:val="20"/>
          <w:szCs w:val="20"/>
          <w:color w:val="auto"/>
        </w:rPr>
      </w:pPr>
    </w:p>
    <w:p>
      <w:pPr>
        <w:jc w:val="both"/>
        <w:ind w:right="60"/>
        <w:spacing w:after="0" w:line="269" w:lineRule="auto"/>
        <w:rPr>
          <w:sz w:val="20"/>
          <w:szCs w:val="20"/>
          <w:color w:val="auto"/>
        </w:rPr>
      </w:pPr>
      <w:r>
        <w:rPr>
          <w:rFonts w:ascii="Arial" w:cs="Arial" w:eastAsia="Arial" w:hAnsi="Arial"/>
          <w:sz w:val="20"/>
          <w:szCs w:val="20"/>
          <w:color w:val="auto"/>
        </w:rPr>
        <w:t>This Policy supersedes and replaces The Toro Company Clawback Policy, as adopted by the Board on January 19, 2022, with respect to all Incentive Compensation received by any Covered Employee on or after the Effective Date and all Incentive-Based Compensation Received by the Company’s current and former Executive Officers on or after the Effective Date.</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4A4F53"/>
        </w:rPr>
        <w:t>Required Disclosures</w:t>
      </w:r>
    </w:p>
    <w:p>
      <w:pPr>
        <w:spacing w:after="0" w:line="172" w:lineRule="exact"/>
        <w:rPr>
          <w:sz w:val="20"/>
          <w:szCs w:val="20"/>
          <w:color w:val="auto"/>
        </w:rPr>
      </w:pPr>
    </w:p>
    <w:p>
      <w:pPr>
        <w:jc w:val="both"/>
        <w:ind w:right="60"/>
        <w:spacing w:after="0" w:line="276" w:lineRule="auto"/>
        <w:rPr>
          <w:sz w:val="20"/>
          <w:szCs w:val="20"/>
          <w:color w:val="auto"/>
        </w:rPr>
      </w:pPr>
      <w:r>
        <w:rPr>
          <w:rFonts w:ascii="Arial" w:cs="Arial" w:eastAsia="Arial" w:hAnsi="Arial"/>
          <w:sz w:val="20"/>
          <w:szCs w:val="20"/>
          <w:color w:val="auto"/>
        </w:rPr>
        <w:t>The Company will file all disclosures with respect to this Policy in accordance with the requirements of the federal securities laws, including the disclosure required by the applicable SEC filings and will provide all required SEC and other disclosures regarding this Policy and in the event of a Restatement.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4A4F53"/>
        </w:rPr>
        <w:t>Amendment and Termination</w:t>
      </w:r>
    </w:p>
    <w:p>
      <w:pPr>
        <w:spacing w:after="0" w:line="186" w:lineRule="exact"/>
        <w:rPr>
          <w:sz w:val="20"/>
          <w:szCs w:val="20"/>
          <w:color w:val="auto"/>
        </w:rPr>
      </w:pPr>
    </w:p>
    <w:p>
      <w:pPr>
        <w:jc w:val="both"/>
        <w:ind w:right="60"/>
        <w:spacing w:after="0" w:line="286" w:lineRule="auto"/>
        <w:rPr>
          <w:sz w:val="20"/>
          <w:szCs w:val="20"/>
          <w:color w:val="auto"/>
        </w:rPr>
      </w:pPr>
      <w:r>
        <w:rPr>
          <w:rFonts w:ascii="Arial" w:cs="Arial" w:eastAsia="Arial" w:hAnsi="Arial"/>
          <w:sz w:val="20"/>
          <w:szCs w:val="20"/>
          <w:color w:val="auto"/>
        </w:rPr>
        <w:t>The Committee may amend, modify or terminate this Policy in whole or in part at any time in its sole discretion and may adopt such rules and procedures that it deems necessary or appropriate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Effective Date: 01/22/25 </w:t>
      </w:r>
      <w:r>
        <w:rPr>
          <w:rFonts w:ascii="Arial" w:cs="Arial" w:eastAsia="Arial" w:hAnsi="Arial"/>
          <w:sz w:val="16"/>
          <w:szCs w:val="16"/>
          <w:b w:val="1"/>
          <w:bCs w:val="1"/>
          <w:color w:val="CD1F20"/>
        </w:rPr>
        <w:t>|</w:t>
      </w:r>
      <w:r>
        <w:rPr>
          <w:rFonts w:ascii="Arial" w:cs="Arial" w:eastAsia="Arial" w:hAnsi="Arial"/>
          <w:sz w:val="16"/>
          <w:szCs w:val="16"/>
          <w:color w:val="auto"/>
        </w:rPr>
        <w:t xml:space="preserve"> Replaces Policy Dated: 10/02/23 </w:t>
      </w:r>
      <w:r>
        <w:rPr>
          <w:rFonts w:ascii="Arial" w:cs="Arial" w:eastAsia="Arial" w:hAnsi="Arial"/>
          <w:sz w:val="16"/>
          <w:szCs w:val="16"/>
          <w:b w:val="1"/>
          <w:bCs w:val="1"/>
          <w:color w:val="CD1F20"/>
        </w:rPr>
        <w:t>|</w:t>
      </w:r>
      <w:r>
        <w:rPr>
          <w:rFonts w:ascii="Arial" w:cs="Arial" w:eastAsia="Arial" w:hAnsi="Arial"/>
          <w:sz w:val="16"/>
          <w:szCs w:val="16"/>
          <w:color w:val="auto"/>
        </w:rPr>
        <w:t xml:space="preserve"> Last Review Date: 01/22/25</w:t>
      </w:r>
    </w:p>
    <w:p>
      <w:pPr>
        <w:sectPr>
          <w:pgSz w:w="11900" w:h="16838" w:orient="portrait"/>
          <w:cols w:equalWidth="0" w:num="1">
            <w:col w:w="10400"/>
          </w:cols>
          <w:pgMar w:left="1060" w:top="1231" w:right="439" w:bottom="1440" w:gutter="0" w:footer="0" w:header="0"/>
        </w:sectPr>
      </w:pPr>
    </w:p>
    <w:bookmarkStart w:id="128" w:name="page129"/>
    <w:bookmarkEnd w:id="128"/>
    <w:p>
      <w:pPr>
        <w:spacing w:after="0" w:line="300" w:lineRule="auto"/>
        <w:rPr>
          <w:sz w:val="20"/>
          <w:szCs w:val="20"/>
          <w:color w:val="auto"/>
        </w:rPr>
      </w:pPr>
      <w:r>
        <w:rPr>
          <w:rFonts w:ascii="Arial" w:cs="Arial" w:eastAsia="Arial" w:hAnsi="Arial"/>
          <w:sz w:val="20"/>
          <w:szCs w:val="20"/>
          <w:color w:val="auto"/>
        </w:rPr>
        <w:t>to implement this Policy or to comply with applicable laws, rules and regulations, including without limitation Section 303A.14 of the NYSE Listed Company Manual.</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4A4F53"/>
        </w:rPr>
        <w:t>Successors</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This Policy shall be binding and enforceable against all Covered Employees and their respective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Effective Date: 01/22/25 </w:t>
      </w:r>
      <w:r>
        <w:rPr>
          <w:rFonts w:ascii="Arial" w:cs="Arial" w:eastAsia="Arial" w:hAnsi="Arial"/>
          <w:sz w:val="16"/>
          <w:szCs w:val="16"/>
          <w:b w:val="1"/>
          <w:bCs w:val="1"/>
          <w:color w:val="CD1F20"/>
        </w:rPr>
        <w:t>|</w:t>
      </w:r>
      <w:r>
        <w:rPr>
          <w:rFonts w:ascii="Arial" w:cs="Arial" w:eastAsia="Arial" w:hAnsi="Arial"/>
          <w:sz w:val="16"/>
          <w:szCs w:val="16"/>
          <w:color w:val="auto"/>
        </w:rPr>
        <w:t xml:space="preserve"> Replaces Policy Dated: 10/02/23 </w:t>
      </w:r>
      <w:r>
        <w:rPr>
          <w:rFonts w:ascii="Arial" w:cs="Arial" w:eastAsia="Arial" w:hAnsi="Arial"/>
          <w:sz w:val="16"/>
          <w:szCs w:val="16"/>
          <w:b w:val="1"/>
          <w:bCs w:val="1"/>
          <w:color w:val="CD1F20"/>
        </w:rPr>
        <w:t>|</w:t>
      </w:r>
      <w:r>
        <w:rPr>
          <w:rFonts w:ascii="Arial" w:cs="Arial" w:eastAsia="Arial" w:hAnsi="Arial"/>
          <w:sz w:val="16"/>
          <w:szCs w:val="16"/>
          <w:color w:val="auto"/>
        </w:rPr>
        <w:t xml:space="preserve"> Last Review Date: 01/22/25</w:t>
      </w:r>
    </w:p>
    <w:p>
      <w:pPr>
        <w:sectPr>
          <w:pgSz w:w="11900" w:h="16838" w:orient="portrait"/>
          <w:cols w:equalWidth="0" w:num="1">
            <w:col w:w="10340"/>
          </w:cols>
          <w:pgMar w:left="1060" w:top="1184" w:right="49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color w:val="auto"/>
        </w:rPr>
        <w:t>Acknowledgement Form to Clawback Policy</w:t>
      </w: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Applies To:</w:t>
      </w:r>
      <w:r>
        <w:rPr>
          <w:sz w:val="20"/>
          <w:szCs w:val="20"/>
          <w:color w:val="auto"/>
        </w:rPr>
        <w:tab/>
      </w:r>
      <w:r>
        <w:rPr>
          <w:rFonts w:ascii="Arial" w:cs="Arial" w:eastAsia="Arial" w:hAnsi="Arial"/>
          <w:sz w:val="21"/>
          <w:szCs w:val="21"/>
          <w:color w:val="auto"/>
        </w:rPr>
        <w:t>Executive Officers and other Covered Employees (as defined below)</w:t>
      </w:r>
    </w:p>
    <w:p>
      <w:pPr>
        <w:spacing w:after="0" w:line="384" w:lineRule="exact"/>
        <w:rPr>
          <w:sz w:val="20"/>
          <w:szCs w:val="20"/>
          <w:color w:val="auto"/>
        </w:rPr>
      </w:pPr>
    </w:p>
    <w:p>
      <w:pPr>
        <w:ind w:left="2900"/>
        <w:spacing w:after="0"/>
        <w:rPr>
          <w:sz w:val="20"/>
          <w:szCs w:val="20"/>
          <w:color w:val="auto"/>
        </w:rPr>
      </w:pPr>
      <w:r>
        <w:rPr>
          <w:rFonts w:ascii="Arial" w:cs="Arial" w:eastAsia="Arial" w:hAnsi="Arial"/>
          <w:sz w:val="20"/>
          <w:szCs w:val="20"/>
          <w:b w:val="1"/>
          <w:bCs w:val="1"/>
          <w:color w:val="auto"/>
        </w:rPr>
        <w:t>ACKNOWLEDGEMENT FORM</w:t>
      </w:r>
    </w:p>
    <w:p>
      <w:pPr>
        <w:spacing w:after="0" w:line="200" w:lineRule="exact"/>
        <w:rPr>
          <w:sz w:val="20"/>
          <w:szCs w:val="20"/>
          <w:color w:val="auto"/>
        </w:rPr>
      </w:pPr>
    </w:p>
    <w:p>
      <w:pPr>
        <w:spacing w:after="0" w:line="369" w:lineRule="exact"/>
        <w:rPr>
          <w:sz w:val="20"/>
          <w:szCs w:val="20"/>
          <w:color w:val="auto"/>
        </w:rPr>
      </w:pPr>
    </w:p>
    <w:p>
      <w:pPr>
        <w:ind w:left="80"/>
        <w:spacing w:after="0" w:line="300" w:lineRule="auto"/>
        <w:rPr>
          <w:sz w:val="20"/>
          <w:szCs w:val="20"/>
          <w:color w:val="auto"/>
        </w:rPr>
      </w:pPr>
      <w:r>
        <w:rPr>
          <w:rFonts w:ascii="Arial" w:cs="Arial" w:eastAsia="Arial" w:hAnsi="Arial"/>
          <w:sz w:val="20"/>
          <w:szCs w:val="20"/>
          <w:color w:val="auto"/>
        </w:rPr>
        <w:t>By signing below, the undersigned acknowledges and confirms that the undersigned has received and reviewed a copy of The Toro Company Clawback Policy (the “</w:t>
      </w:r>
      <w:r>
        <w:rPr>
          <w:rFonts w:ascii="Arial" w:cs="Arial" w:eastAsia="Arial" w:hAnsi="Arial"/>
          <w:sz w:val="20"/>
          <w:szCs w:val="20"/>
          <w:u w:val="single" w:color="auto"/>
          <w:color w:val="auto"/>
        </w:rPr>
        <w:t>Policy</w:t>
      </w:r>
      <w:r>
        <w:rPr>
          <w:rFonts w:ascii="Arial" w:cs="Arial" w:eastAsia="Arial" w:hAnsi="Arial"/>
          <w:sz w:val="20"/>
          <w:szCs w:val="20"/>
          <w:color w:val="auto"/>
        </w:rPr>
        <w:t>”).</w:t>
      </w:r>
    </w:p>
    <w:p>
      <w:pPr>
        <w:spacing w:after="0" w:line="141" w:lineRule="exact"/>
        <w:rPr>
          <w:sz w:val="20"/>
          <w:szCs w:val="20"/>
          <w:color w:val="auto"/>
        </w:rPr>
      </w:pPr>
    </w:p>
    <w:p>
      <w:pPr>
        <w:jc w:val="both"/>
        <w:ind w:left="80" w:right="180"/>
        <w:spacing w:after="0" w:line="276" w:lineRule="auto"/>
        <w:rPr>
          <w:sz w:val="20"/>
          <w:szCs w:val="20"/>
          <w:color w:val="auto"/>
        </w:rPr>
      </w:pPr>
      <w:r>
        <w:rPr>
          <w:rFonts w:ascii="Arial" w:cs="Arial" w:eastAsia="Arial" w:hAnsi="Arial"/>
          <w:sz w:val="20"/>
          <w:szCs w:val="20"/>
          <w:color w:val="auto"/>
        </w:rPr>
        <w:t>By signing this Acknowledgement Form, the undersigned acknowledges and agrees that the undersigned is and will continue to be subject to the Policy and that the Policy will apply both during and after the undersigned’s employment with The Toro Company and its direct and indirect subsidiaries.</w:t>
      </w:r>
    </w:p>
    <w:p>
      <w:pPr>
        <w:spacing w:after="0" w:line="165" w:lineRule="exact"/>
        <w:rPr>
          <w:sz w:val="20"/>
          <w:szCs w:val="20"/>
          <w:color w:val="auto"/>
        </w:rPr>
      </w:pPr>
    </w:p>
    <w:p>
      <w:pPr>
        <w:jc w:val="both"/>
        <w:ind w:left="80" w:right="180"/>
        <w:spacing w:after="0" w:line="269" w:lineRule="auto"/>
        <w:rPr>
          <w:sz w:val="20"/>
          <w:szCs w:val="20"/>
          <w:color w:val="auto"/>
        </w:rPr>
      </w:pPr>
      <w:r>
        <w:rPr>
          <w:rFonts w:ascii="Arial" w:cs="Arial" w:eastAsia="Arial" w:hAnsi="Arial"/>
          <w:sz w:val="20"/>
          <w:szCs w:val="20"/>
          <w:color w:val="auto"/>
        </w:rPr>
        <w:t>Further, by signing below, the undersigned agrees to abide by the terms of the Policy, including, without limitation, by returning any Incentive Compensation, including any Erroneously Awarded Compensation (in each case, as defined in the Policy), to The Toro Company and its direct and indirect subsidiaries to the extent required by, and in a manner permitted by, the Policy.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tabs>
          <w:tab w:leader="none" w:pos="280" w:val="left"/>
          <w:tab w:leader="none" w:pos="280" w:val="left"/>
        </w:tabs>
        <w:rPr>
          <w:sz w:val="20"/>
          <w:szCs w:val="20"/>
          <w:color w:val="auto"/>
        </w:rPr>
      </w:pPr>
      <w:r>
        <w:rPr>
          <w:rFonts w:ascii="Arial" w:cs="Arial" w:eastAsia="Arial" w:hAnsi="Arial"/>
          <w:sz w:val="20"/>
          <w:szCs w:val="20"/>
          <w:color w:val="auto"/>
        </w:rPr>
        <w:t>Signature:</w:t>
        <w:tab/>
        <w:t>Name:</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-11430</wp:posOffset>
            </wp:positionV>
            <wp:extent cx="1257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9">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-11430</wp:posOffset>
            </wp:positionV>
            <wp:extent cx="1257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0">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-11430</wp:posOffset>
            </wp:positionV>
            <wp:extent cx="1257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Effective Date: 01/22/25 </w:t>
      </w:r>
      <w:r>
        <w:rPr>
          <w:rFonts w:ascii="Arial" w:cs="Arial" w:eastAsia="Arial" w:hAnsi="Arial"/>
          <w:sz w:val="16"/>
          <w:szCs w:val="16"/>
          <w:b w:val="1"/>
          <w:bCs w:val="1"/>
          <w:color w:val="CD1F20"/>
        </w:rPr>
        <w:t>|</w:t>
      </w:r>
      <w:r>
        <w:rPr>
          <w:rFonts w:ascii="Arial" w:cs="Arial" w:eastAsia="Arial" w:hAnsi="Arial"/>
          <w:sz w:val="16"/>
          <w:szCs w:val="16"/>
          <w:color w:val="auto"/>
        </w:rPr>
        <w:t xml:space="preserve"> Replaces Policy Dated: 10/02/23 </w:t>
      </w:r>
      <w:r>
        <w:rPr>
          <w:rFonts w:ascii="Arial" w:cs="Arial" w:eastAsia="Arial" w:hAnsi="Arial"/>
          <w:sz w:val="16"/>
          <w:szCs w:val="16"/>
          <w:b w:val="1"/>
          <w:bCs w:val="1"/>
          <w:color w:val="CD1F20"/>
        </w:rPr>
        <w:t>|</w:t>
      </w:r>
      <w:r>
        <w:rPr>
          <w:rFonts w:ascii="Arial" w:cs="Arial" w:eastAsia="Arial" w:hAnsi="Arial"/>
          <w:sz w:val="16"/>
          <w:szCs w:val="16"/>
          <w:color w:val="auto"/>
        </w:rPr>
        <w:t xml:space="preserve"> Last Review Date: 01/22/25</w:t>
      </w:r>
    </w:p>
    <w:sectPr>
      <w:pgSz w:w="11900" w:h="16838" w:orient="portrait"/>
      <w:cols w:equalWidth="0" w:num="1">
        <w:col w:w="10500"/>
      </w:cols>
      <w:pgMar w:left="980" w:top="126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lowerRoman"/>
      <w:start w:val="4"/>
    </w:lvl>
  </w:abstractNum>
  <w:abstractNum w:abstractNumId="16">
    <w:nsid w:val="4B588F54"/>
    <w:multiLevelType w:val="hybridMultilevel"/>
    <w:lvl w:ilvl="0">
      <w:lvlJc w:val="left"/>
      <w:lvlText w:val="1"/>
      <w:numFmt w:val="bullet"/>
      <w:start w:val="1"/>
    </w:lvl>
  </w:abstractNum>
  <w:abstractNum w:abstractNumId="17">
    <w:nsid w:val="542289EC"/>
    <w:multiLevelType w:val="hybridMultilevel"/>
    <w:lvl w:ilvl="0">
      <w:lvlJc w:val="left"/>
      <w:lvlText w:val="2"/>
      <w:numFmt w:val="bullet"/>
      <w:start w:val="1"/>
    </w:lvl>
  </w:abstractNum>
  <w:abstractNum w:abstractNumId="18">
    <w:nsid w:val="6DE91B18"/>
    <w:multiLevelType w:val="hybridMultilevel"/>
    <w:lvl w:ilvl="0">
      <w:lvlJc w:val="left"/>
      <w:lvlText w:val="3"/>
      <w:numFmt w:val="bullet"/>
      <w:start w:val="1"/>
    </w:lvl>
  </w:abstractNum>
  <w:abstractNum w:abstractNumId="19">
    <w:nsid w:val="38437FDB"/>
    <w:multiLevelType w:val="hybridMultilevel"/>
    <w:lvl w:ilvl="0">
      <w:lvlJc w:val="left"/>
      <w:lvlText w:val="4"/>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1"/>
      <w:numFmt w:val="bullet"/>
      <w:start w:val="1"/>
    </w:lvl>
  </w:abstractNum>
  <w:abstractNum w:abstractNumId="25">
    <w:nsid w:val="3DC240FB"/>
    <w:multiLevelType w:val="hybridMultilevel"/>
    <w:lvl w:ilvl="0">
      <w:lvlJc w:val="left"/>
      <w:lvlText w:val="2"/>
      <w:numFmt w:val="bullet"/>
      <w:start w:val="1"/>
    </w:lvl>
  </w:abstractNum>
  <w:abstractNum w:abstractNumId="26">
    <w:nsid w:val="1BA026FA"/>
    <w:multiLevelType w:val="hybridMultilevel"/>
    <w:lvl w:ilvl="0">
      <w:lvlJc w:val="left"/>
      <w:lvlText w:val="3"/>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bullet"/>
      <w:start w:val="1"/>
    </w:lvl>
  </w:abstractNum>
  <w:abstractNum w:abstractNumId="30">
    <w:nsid w:val="70C6A529"/>
    <w:multiLevelType w:val="hybridMultilevel"/>
    <w:lvl w:ilvl="0">
      <w:lvlJc w:val="left"/>
      <w:lvlText w:val="1"/>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2"/>
      <w:numFmt w:val="bullet"/>
      <w:start w:val="1"/>
    </w:lvl>
  </w:abstractNum>
  <w:abstractNum w:abstractNumId="34">
    <w:nsid w:val="23F9C13C"/>
    <w:multiLevelType w:val="hybridMultilevel"/>
    <w:lvl w:ilvl="0">
      <w:lvlJc w:val="left"/>
      <w:lvlText w:val="3"/>
      <w:numFmt w:val="bullet"/>
      <w:start w:val="1"/>
    </w:lvl>
  </w:abstractNum>
  <w:abstractNum w:abstractNumId="35">
    <w:nsid w:val="649BB77C"/>
    <w:multiLevelType w:val="hybridMultilevel"/>
    <w:lvl w:ilvl="0">
      <w:lvlJc w:val="left"/>
      <w:lvlText w:val="1"/>
      <w:numFmt w:val="bullet"/>
      <w:start w:val="1"/>
    </w:lvl>
  </w:abstractNum>
  <w:abstractNum w:abstractNumId="36">
    <w:nsid w:val="275AC794"/>
    <w:multiLevelType w:val="hybridMultilevel"/>
    <w:lvl w:ilvl="0">
      <w:lvlJc w:val="left"/>
      <w:lvlText w:val="2"/>
      <w:numFmt w:val="bullet"/>
      <w:start w:val="1"/>
    </w:lvl>
  </w:abstractNum>
  <w:abstractNum w:abstractNumId="37">
    <w:nsid w:val="39386575"/>
    <w:multiLevelType w:val="hybridMultilevel"/>
    <w:lvl w:ilvl="0">
      <w:lvlJc w:val="left"/>
      <w:lvlText w:val="1"/>
      <w:numFmt w:val="bullet"/>
      <w:start w:val="1"/>
    </w:lvl>
  </w:abstractNum>
  <w:abstractNum w:abstractNumId="38">
    <w:nsid w:val="1CF10FD8"/>
    <w:multiLevelType w:val="hybridMultilevel"/>
    <w:lvl w:ilvl="0">
      <w:lvlJc w:val="left"/>
      <w:lvlText w:val="4"/>
      <w:numFmt w:val="bullet"/>
      <w:start w:val="1"/>
    </w:lvl>
  </w:abstractNum>
  <w:abstractNum w:abstractNumId="39">
    <w:nsid w:val="180115BE"/>
    <w:multiLevelType w:val="hybridMultilevel"/>
    <w:lvl w:ilvl="0">
      <w:lvlJc w:val="left"/>
      <w:lvlText w:val="5"/>
      <w:numFmt w:val="bullet"/>
      <w:start w:val="1"/>
    </w:lvl>
  </w:abstractNum>
  <w:abstractNum w:abstractNumId="40">
    <w:nsid w:val="235BA861"/>
    <w:multiLevelType w:val="hybridMultilevel"/>
    <w:lvl w:ilvl="0">
      <w:lvlJc w:val="left"/>
      <w:lvlText w:val="7"/>
      <w:numFmt w:val="bullet"/>
      <w:start w:val="1"/>
    </w:lvl>
  </w:abstractNum>
  <w:abstractNum w:abstractNumId="41">
    <w:nsid w:val="47398C89"/>
    <w:multiLevelType w:val="hybridMultilevel"/>
    <w:lvl w:ilvl="0">
      <w:lvlJc w:val="left"/>
      <w:lvlText w:val="9"/>
      <w:numFmt w:val="bullet"/>
      <w:start w:val="1"/>
    </w:lvl>
  </w:abstractNum>
  <w:abstractNum w:abstractNumId="42">
    <w:nsid w:val="354FE9F9"/>
    <w:multiLevelType w:val="hybridMultilevel"/>
    <w:lvl w:ilvl="0">
      <w:lvlJc w:val="left"/>
      <w:lvlText w:val="1"/>
      <w:numFmt w:val="bullet"/>
      <w:start w:val="1"/>
    </w:lvl>
  </w:abstractNum>
  <w:abstractNum w:abstractNumId="43">
    <w:nsid w:val="15B5AF5C"/>
    <w:multiLevelType w:val="hybridMultilevel"/>
    <w:lvl w:ilvl="0">
      <w:lvlJc w:val="left"/>
      <w:lvlText w:val="(%1)"/>
      <w:numFmt w:val="lowerLetter"/>
      <w:start w:val="1"/>
    </w:lvl>
    <w:lvl w:ilvl="1">
      <w:lvlJc w:val="left"/>
      <w:lvlText w:val="%2."/>
      <w:numFmt w:val="decimal"/>
      <w:start w:val="1"/>
    </w:lvl>
  </w:abstractNum>
  <w:abstractNum w:abstractNumId="44">
    <w:nsid w:val="741226BB"/>
    <w:multiLevelType w:val="hybridMultilevel"/>
    <w:lvl w:ilvl="0">
      <w:lvlJc w:val="left"/>
      <w:lvlText w:val="%1."/>
      <w:numFmt w:val="decimal"/>
      <w:start w:val="2"/>
    </w:lvl>
  </w:abstractNum>
  <w:abstractNum w:abstractNumId="45">
    <w:nsid w:val="D34B6A8"/>
    <w:multiLevelType w:val="hybridMultilevel"/>
    <w:lvl w:ilvl="0">
      <w:lvlJc w:val="left"/>
      <w:lvlText w:val="%1"/>
      <w:numFmt w:val="decimal"/>
      <w:start w:val="19"/>
    </w:lvl>
  </w:abstractNum>
  <w:abstractNum w:abstractNumId="46">
    <w:nsid w:val="10233C99"/>
    <w:multiLevelType w:val="hybridMultilevel"/>
    <w:lvl w:ilvl="0">
      <w:lvlJc w:val="left"/>
      <w:lvlText w:val="%1"/>
      <w:numFmt w:val="decimal"/>
      <w:start w:val="21"/>
    </w:lvl>
  </w:abstractNum>
  <w:abstractNum w:abstractNumId="47">
    <w:nsid w:val="3F6AB60F"/>
    <w:multiLevelType w:val="hybridMultilevel"/>
    <w:lvl w:ilvl="0">
      <w:lvlJc w:val="left"/>
      <w:lvlText w:val="%1"/>
      <w:numFmt w:val="decimal"/>
      <w:start w:val="32"/>
    </w:lvl>
  </w:abstractNum>
  <w:abstractNum w:abstractNumId="48">
    <w:nsid w:val="61574095"/>
    <w:multiLevelType w:val="hybridMultilevel"/>
    <w:lvl w:ilvl="0">
      <w:lvlJc w:val="left"/>
      <w:lvlText w:val="%1"/>
      <w:numFmt w:val="decimal"/>
      <w:start w:val="97"/>
    </w:lvl>
  </w:abstractNum>
  <w:abstractNum w:abstractNumId="49">
    <w:nsid w:val="7E0C57B1"/>
    <w:multiLevelType w:val="hybridMultilevel"/>
    <w:lvl w:ilvl="0">
      <w:lvlJc w:val="left"/>
      <w:lvlText w:val="%1"/>
      <w:numFmt w:val="decimal"/>
      <w:start w:val="101"/>
    </w:lvl>
  </w:abstractNum>
  <w:abstractNum w:abstractNumId="50">
    <w:nsid w:val="77AE35EB"/>
    <w:multiLevelType w:val="hybridMultilevel"/>
    <w:lvl w:ilvl="0">
      <w:lvlJc w:val="left"/>
      <w:lvlText w:val="%1"/>
      <w:numFmt w:val="decimal"/>
      <w:start w:val="1"/>
    </w:lvl>
    <w:lvl w:ilvl="1">
      <w:lvlJc w:val="left"/>
      <w:lvlText w:val="%2"/>
      <w:numFmt w:val="decimal"/>
      <w:start w:val="104"/>
    </w:lvl>
  </w:abstractNum>
  <w:abstractNum w:abstractNumId="51">
    <w:nsid w:val="579BE4F1"/>
    <w:multiLevelType w:val="hybridMultilevel"/>
    <w:lvl w:ilvl="0">
      <w:lvlJc w:val="left"/>
      <w:lvlText w:val="(%1)"/>
      <w:numFmt w:val="decimal"/>
      <w:start w:val="1"/>
    </w:lvl>
    <w:lvl w:ilvl="1">
      <w:lvlJc w:val="left"/>
      <w:lvlText w:val="%2"/>
      <w:numFmt w:val="decimal"/>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1)"/>
      <w:numFmt w:val="lowerLetter"/>
      <w:start w:val="3"/>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1."/>
      <w:numFmt w:val="upperLetter"/>
      <w:start w:val="1"/>
    </w:lvl>
    <w:lvl w:ilvl="1">
      <w:lvlJc w:val="left"/>
      <w:lvlText w:val="•"/>
      <w:numFmt w:val="bullet"/>
      <w:start w:val="1"/>
    </w:lvl>
  </w:abstractNum>
  <w:abstractNum w:abstractNumId="56">
    <w:nsid w:val="1DBABF00"/>
    <w:multiLevelType w:val="hybridMultilevel"/>
    <w:lvl w:ilvl="0">
      <w:lvlJc w:val="left"/>
      <w:lvlText w:val="%1."/>
      <w:numFmt w:val="upperLetter"/>
      <w:start w:val="2"/>
    </w:lvl>
  </w:abstractNum>
  <w:abstractNum w:abstractNumId="57">
    <w:nsid w:val="4AD084E9"/>
    <w:multiLevelType w:val="hybridMultilevel"/>
    <w:lvl w:ilvl="0">
      <w:lvlJc w:val="left"/>
      <w:lvlText w:val="%1."/>
      <w:numFmt w:val="upperLetter"/>
      <w:start w:val="1"/>
    </w:lvl>
    <w:lvl w:ilvl="1">
      <w:lvlJc w:val="left"/>
      <w:lvlText w:val="•"/>
      <w:numFmt w:val="bullet"/>
      <w:start w:val="1"/>
    </w:lvl>
  </w:abstractNum>
  <w:abstractNum w:abstractNumId="58">
    <w:nsid w:val="1F48EAA1"/>
    <w:multiLevelType w:val="hybridMultilevel"/>
    <w:lvl w:ilvl="0">
      <w:lvlJc w:val="left"/>
      <w:lvlText w:val="%1."/>
      <w:numFmt w:val="upperLetter"/>
      <w:start w:val="3"/>
    </w:lvl>
    <w:lvl w:ilvl="1">
      <w:lvlJc w:val="left"/>
      <w:lvlText w:val="•"/>
      <w:numFmt w:val="bullet"/>
      <w:start w:val="1"/>
    </w:lvl>
  </w:abstractNum>
  <w:abstractNum w:abstractNumId="59">
    <w:nsid w:val="1381823A"/>
    <w:multiLevelType w:val="hybridMultilevel"/>
    <w:lvl w:ilvl="0">
      <w:lvlJc w:val="left"/>
      <w:lvlText w:val="%1."/>
      <w:numFmt w:val="upperLetter"/>
      <w:start w:val="4"/>
    </w:lvl>
    <w:lvl w:ilvl="1">
      <w:lvlJc w:val="left"/>
      <w:lvlText w:val="•"/>
      <w:numFmt w:val="bullet"/>
      <w:start w:val="1"/>
    </w:lvl>
  </w:abstractNum>
  <w:abstractNum w:abstractNumId="60">
    <w:nsid w:val="5DB70AE5"/>
    <w:multiLevelType w:val="hybridMultilevel"/>
    <w:lvl w:ilvl="0">
      <w:lvlJc w:val="left"/>
      <w:lvlText w:val="%1."/>
      <w:numFmt w:val="upperLetter"/>
      <w:start w:val="6"/>
    </w:lvl>
  </w:abstractNum>
  <w:abstractNum w:abstractNumId="61">
    <w:nsid w:val="100F8FCA"/>
    <w:multiLevelType w:val="hybridMultilevel"/>
    <w:lvl w:ilvl="0">
      <w:lvlJc w:val="left"/>
      <w:lvlText w:val="%1."/>
      <w:numFmt w:val="upperLetter"/>
      <w:start w:val="1"/>
    </w:lvl>
  </w:abstractNum>
  <w:abstractNum w:abstractNumId="62">
    <w:nsid w:val="6590700B"/>
    <w:multiLevelType w:val="hybridMultilevel"/>
    <w:lvl w:ilvl="0">
      <w:lvlJc w:val="left"/>
      <w:lvlText w:val="%1."/>
      <w:numFmt w:val="upperLetter"/>
      <w:start w:val="34"/>
    </w:lvl>
    <w:lvl w:ilvl="1">
      <w:lvlJc w:val="left"/>
      <w:lvlText w:val="•"/>
      <w:numFmt w:val="bullet"/>
      <w:start w:val="1"/>
    </w:lvl>
  </w:abstractNum>
  <w:abstractNum w:abstractNumId="63">
    <w:nsid w:val="15014ACB"/>
    <w:multiLevelType w:val="hybridMultilevel"/>
    <w:lvl w:ilvl="0">
      <w:lvlJc w:val="left"/>
      <w:lvlText w:val="%1."/>
      <w:numFmt w:val="upperLetter"/>
      <w:start w:val="61"/>
    </w:lvl>
  </w:abstractNum>
  <w:abstractNum w:abstractNumId="64">
    <w:nsid w:val="5F5E7FD0"/>
    <w:multiLevelType w:val="hybridMultilevel"/>
    <w:lvl w:ilvl="0">
      <w:lvlJc w:val="left"/>
      <w:lvlText w:val="%1."/>
      <w:numFmt w:val="upperLetter"/>
      <w:start w:val="1"/>
    </w:lvl>
  </w:abstractNum>
  <w:abstractNum w:abstractNumId="65">
    <w:nsid w:val="98A3148"/>
    <w:multiLevelType w:val="hybridMultilevel"/>
    <w:lvl w:ilvl="0">
      <w:lvlJc w:val="left"/>
      <w:lvlText w:val="%1."/>
      <w:numFmt w:val="decimal"/>
      <w:start w:val="1"/>
    </w:lvl>
    <w:lvl w:ilvl="1">
      <w:lvlJc w:val="left"/>
      <w:lvlText w:val="%2)"/>
      <w:numFmt w:val="lowerLetter"/>
      <w:start w:val="1"/>
    </w:lvl>
  </w:abstractNum>
  <w:abstractNum w:abstractNumId="66">
    <w:nsid w:val="799D0247"/>
    <w:multiLevelType w:val="hybridMultilevel"/>
    <w:lvl w:ilvl="0">
      <w:lvlJc w:val="left"/>
      <w:lvlText w:val="%1."/>
      <w:numFmt w:val="decimal"/>
      <w:start w:val="1"/>
    </w:lvl>
    <w:lvl w:ilvl="1">
      <w:lvlJc w:val="left"/>
      <w:lvlText w:val="%2)"/>
      <w:numFmt w:val="lowerLetter"/>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8" Type="http://schemas.openxmlformats.org/officeDocument/2006/relationships/image" Target="media/image110.png"/><Relationship Id="rId154" Type="http://schemas.openxmlformats.org/officeDocument/2006/relationships/image" Target="media/image111.png"/><Relationship Id="rId178" Type="http://schemas.openxmlformats.org/officeDocument/2006/relationships/image" Target="media/image112.png"/><Relationship Id="rId181" Type="http://schemas.openxmlformats.org/officeDocument/2006/relationships/image" Target="media/image113.png"/><Relationship Id="rId182" Type="http://schemas.openxmlformats.org/officeDocument/2006/relationships/image" Target="media/image114.png"/><Relationship Id="rId183" Type="http://schemas.openxmlformats.org/officeDocument/2006/relationships/image" Target="media/image115.png"/><Relationship Id="rId184" Type="http://schemas.openxmlformats.org/officeDocument/2006/relationships/image" Target="media/image116.png"/><Relationship Id="rId185" Type="http://schemas.openxmlformats.org/officeDocument/2006/relationships/image" Target="media/image117.png"/><Relationship Id="rId186" Type="http://schemas.openxmlformats.org/officeDocument/2006/relationships/image" Target="media/image118.png"/><Relationship Id="rId187" Type="http://schemas.openxmlformats.org/officeDocument/2006/relationships/image" Target="media/image119.png"/><Relationship Id="rId188" Type="http://schemas.openxmlformats.org/officeDocument/2006/relationships/image" Target="media/image120.png"/><Relationship Id="rId189" Type="http://schemas.openxmlformats.org/officeDocument/2006/relationships/image" Target="media/image121.png"/><Relationship Id="rId190" Type="http://schemas.openxmlformats.org/officeDocument/2006/relationships/image" Target="media/image122.png"/><Relationship Id="rId191" Type="http://schemas.openxmlformats.org/officeDocument/2006/relationships/image" Target="media/image123.png"/><Relationship Id="rId192" Type="http://schemas.openxmlformats.org/officeDocument/2006/relationships/image" Target="media/image124.png"/><Relationship Id="rId193" Type="http://schemas.openxmlformats.org/officeDocument/2006/relationships/image" Target="media/image125.png"/><Relationship Id="rId194" Type="http://schemas.openxmlformats.org/officeDocument/2006/relationships/image" Target="media/image126.png"/><Relationship Id="rId195" Type="http://schemas.openxmlformats.org/officeDocument/2006/relationships/image" Target="media/image127.png"/><Relationship Id="rId196" Type="http://schemas.openxmlformats.org/officeDocument/2006/relationships/image" Target="media/image128.png"/><Relationship Id="rId197" Type="http://schemas.openxmlformats.org/officeDocument/2006/relationships/image" Target="media/image129.png"/><Relationship Id="rId198" Type="http://schemas.openxmlformats.org/officeDocument/2006/relationships/image" Target="media/image130.png"/><Relationship Id="rId199" Type="http://schemas.openxmlformats.org/officeDocument/2006/relationships/image" Target="media/image131.png"/><Relationship Id="rId200" Type="http://schemas.openxmlformats.org/officeDocument/2006/relationships/image" Target="media/image132.png"/><Relationship Id="rId201" Type="http://schemas.openxmlformats.org/officeDocument/2006/relationships/image" Target="media/image133.png"/><Relationship Id="rId202" Type="http://schemas.openxmlformats.org/officeDocument/2006/relationships/image" Target="media/image134.png"/><Relationship Id="rId203" Type="http://schemas.openxmlformats.org/officeDocument/2006/relationships/image" Target="media/image135.png"/><Relationship Id="rId204" Type="http://schemas.openxmlformats.org/officeDocument/2006/relationships/image" Target="media/image136.png"/><Relationship Id="rId205" Type="http://schemas.openxmlformats.org/officeDocument/2006/relationships/image" Target="media/image137.png"/><Relationship Id="rId206" Type="http://schemas.openxmlformats.org/officeDocument/2006/relationships/image" Target="media/image138.png"/><Relationship Id="rId207" Type="http://schemas.openxmlformats.org/officeDocument/2006/relationships/image" Target="media/image139.png"/><Relationship Id="rId208" Type="http://schemas.openxmlformats.org/officeDocument/2006/relationships/image" Target="media/image140.png"/><Relationship Id="rId209" Type="http://schemas.openxmlformats.org/officeDocument/2006/relationships/image" Target="media/image141.png"/><Relationship Id="rId210" Type="http://schemas.openxmlformats.org/officeDocument/2006/relationships/image" Target="media/image142.png"/><Relationship Id="rId211" Type="http://schemas.openxmlformats.org/officeDocument/2006/relationships/image" Target="media/image143.png"/><Relationship Id="rId212" Type="http://schemas.openxmlformats.org/officeDocument/2006/relationships/image" Target="media/image144.png"/><Relationship Id="rId213" Type="http://schemas.openxmlformats.org/officeDocument/2006/relationships/image" Target="media/image145.png"/><Relationship Id="rId214" Type="http://schemas.openxmlformats.org/officeDocument/2006/relationships/image" Target="media/image146.png"/><Relationship Id="rId215" Type="http://schemas.openxmlformats.org/officeDocument/2006/relationships/image" Target="media/image147.png"/><Relationship Id="rId216" Type="http://schemas.openxmlformats.org/officeDocument/2006/relationships/image" Target="media/image148.png"/><Relationship Id="rId217" Type="http://schemas.openxmlformats.org/officeDocument/2006/relationships/image" Target="media/image149.png"/><Relationship Id="rId218" Type="http://schemas.openxmlformats.org/officeDocument/2006/relationships/image" Target="media/image150.png"/><Relationship Id="rId219" Type="http://schemas.openxmlformats.org/officeDocument/2006/relationships/image" Target="media/image151.png"/><Relationship Id="rId220" Type="http://schemas.openxmlformats.org/officeDocument/2006/relationships/image" Target="media/image152.png"/><Relationship Id="rId221" Type="http://schemas.openxmlformats.org/officeDocument/2006/relationships/image" Target="media/image153.png"/><Relationship Id="rId222" Type="http://schemas.openxmlformats.org/officeDocument/2006/relationships/image" Target="media/image154.png"/><Relationship Id="rId223" Type="http://schemas.openxmlformats.org/officeDocument/2006/relationships/image" Target="media/image155.png"/><Relationship Id="rId224" Type="http://schemas.openxmlformats.org/officeDocument/2006/relationships/image" Target="media/image156.png"/><Relationship Id="rId225" Type="http://schemas.openxmlformats.org/officeDocument/2006/relationships/image" Target="media/image157.png"/><Relationship Id="rId226" Type="http://schemas.openxmlformats.org/officeDocument/2006/relationships/image" Target="media/image158.png"/><Relationship Id="rId227" Type="http://schemas.openxmlformats.org/officeDocument/2006/relationships/image" Target="media/image159.png"/><Relationship Id="rId228" Type="http://schemas.openxmlformats.org/officeDocument/2006/relationships/image" Target="media/image160.png"/><Relationship Id="rId229" Type="http://schemas.openxmlformats.org/officeDocument/2006/relationships/image" Target="media/image161.png"/><Relationship Id="rId230" Type="http://schemas.openxmlformats.org/officeDocument/2006/relationships/image" Target="media/image162.png"/><Relationship Id="rId231" Type="http://schemas.openxmlformats.org/officeDocument/2006/relationships/image" Target="media/image163.png"/><Relationship Id="rId117" Type="http://schemas.openxmlformats.org/officeDocument/2006/relationships/hyperlink" Target="https://www.sec.gov/Archives/edgar/data/0000737758/000073775823000034/ttc-10312023xexhibit21.htm" TargetMode="External"/><Relationship Id="rId118" Type="http://schemas.openxmlformats.org/officeDocument/2006/relationships/hyperlink" Target="https://www.sec.gov/Archives/edgar/data/0000737758/000073775823000034/ttc-10312023xex22.htm" TargetMode="External"/><Relationship Id="rId119" Type="http://schemas.openxmlformats.org/officeDocument/2006/relationships/hyperlink" Target="https://www.sec.gov/Archives/edgar/data/0000737758/000073775823000034/ttc-10312023xex23.htm" TargetMode="External"/><Relationship Id="rId120" Type="http://schemas.openxmlformats.org/officeDocument/2006/relationships/hyperlink" Target="http://www.sec.gov/Archives/edgar/data/737758/000073775820000007/ttc1312020exhibit22.htm" TargetMode="External"/><Relationship Id="rId121" Type="http://schemas.openxmlformats.org/officeDocument/2006/relationships/hyperlink" Target="http://www.sec.gov/Archives/edgar/data/0000737758/000073775821000012/ttc04302021exhibit22.htm" TargetMode="External"/><Relationship Id="rId122" Type="http://schemas.openxmlformats.org/officeDocument/2006/relationships/hyperlink" Target="https://www.sec.gov/Archives/edgar/data/737758/000073775822000039/ttc-10312022xex26.htm" TargetMode="External"/><Relationship Id="rId123" Type="http://schemas.openxmlformats.org/officeDocument/2006/relationships/hyperlink" Target="https://www.sec.gov/Archives/edgar/data/0000737758/000073775823000034/ttc-10312023xex27.htm" TargetMode="External"/><Relationship Id="rId124" Type="http://schemas.openxmlformats.org/officeDocument/2006/relationships/hyperlink" Target="http://www.sec.gov/Archives/edgar/data/737758/000104746912011370/a2212200zex-2_4.htm" TargetMode="External"/><Relationship Id="rId125" Type="http://schemas.openxmlformats.org/officeDocument/2006/relationships/hyperlink" Target="https://www.sec.gov/Archives/edgar/data/0000737758/000073775823000034/ttc-10312023xex29.htm" TargetMode="External"/><Relationship Id="rId126" Type="http://schemas.openxmlformats.org/officeDocument/2006/relationships/hyperlink" Target="https://www.sec.gov/Archives/edgar/data/0000737758/000073775823000034/ttc-10312023xex210.htm" TargetMode="External"/><Relationship Id="rId127" Type="http://schemas.openxmlformats.org/officeDocument/2006/relationships/hyperlink" Target="http://www.sec.gov/Archives/edgar/data/737758/000073775820000029/ttc-10312020xex29.htm" TargetMode="External"/><Relationship Id="rId129" Type="http://schemas.openxmlformats.org/officeDocument/2006/relationships/hyperlink" Target="http://www.sec.gov/Archives/edgar/data/737758/000073775820000007/ttc1312020exhibit23.htm" TargetMode="External"/><Relationship Id="rId130" Type="http://schemas.openxmlformats.org/officeDocument/2006/relationships/hyperlink" Target="https://www.sec.gov/Archives/edgar/data/0000737758/000073775823000034/ttc-10312023xex213.htm" TargetMode="External"/><Relationship Id="rId131" Type="http://schemas.openxmlformats.org/officeDocument/2006/relationships/hyperlink" Target="http://www.sec.gov/Archives/edgar/data/737758/000073775808000033/form8-k06172008exhibitcert.htm" TargetMode="External"/><Relationship Id="rId132" Type="http://schemas.openxmlformats.org/officeDocument/2006/relationships/hyperlink" Target="http://www.sec.gov/Archives/edgar/data/737758/000119312513105223/d501846dex31.htm" TargetMode="External"/><Relationship Id="rId133" Type="http://schemas.openxmlformats.org/officeDocument/2006/relationships/hyperlink" Target="https://www.sec.gov/Archives/edgar/data/737758/000114036123027141/brhc20053547_3-1.htm" TargetMode="External"/><Relationship Id="rId134" Type="http://schemas.openxmlformats.org/officeDocument/2006/relationships/hyperlink" Target="http://www.sec.gov/Archives/edgar/data/737758/000073775808000041/stock_certificate1.htm" TargetMode="External"/><Relationship Id="rId135" Type="http://schemas.openxmlformats.org/officeDocument/2006/relationships/hyperlink" Target="https://www.sec.gov/Archives/edgar/data/737758/000073775823000034/ttc-10312023xex45.htm" TargetMode="External"/><Relationship Id="rId136" Type="http://schemas.openxmlformats.org/officeDocument/2006/relationships/hyperlink" Target="http://www.sec.gov/Archives/edgar/data/737758/000110465907030051/a07-10570_1ex4d3.htm" TargetMode="External"/><Relationship Id="rId137" Type="http://schemas.openxmlformats.org/officeDocument/2006/relationships/hyperlink" Target="http://www.sec.gov/Archives/edgar/data/737758/000110465907031757/a07-10570_5ex4d1.htm" TargetMode="External"/><Relationship Id="rId138" Type="http://schemas.openxmlformats.org/officeDocument/2006/relationships/hyperlink" Target="http://www.sec.gov/Archives/edgar/data/737758/000110465907031757/a07-10570_5ex4d2.htm" TargetMode="External"/><Relationship Id="rId139" Type="http://schemas.openxmlformats.org/officeDocument/2006/relationships/hyperlink" Target="https://www.sec.gov/Archives/edgar/data/737758/000156459022010675/ttc-ex101_15.htm" TargetMode="External"/><Relationship Id="rId140" Type="http://schemas.openxmlformats.org/officeDocument/2006/relationships/hyperlink" Target="http://www.sec.gov/Archives/edgar/data/737758/000104746916017295/a2230524zex-10_1.htm" TargetMode="External"/><Relationship Id="rId141" Type="http://schemas.openxmlformats.org/officeDocument/2006/relationships/hyperlink" Target="http://www.sec.gov/Archives/edgar/data/737758/000073775819000028/ttc-10312019xex102.htm" TargetMode="External"/><Relationship Id="rId142" Type="http://schemas.openxmlformats.org/officeDocument/2006/relationships/hyperlink" Target="http://www.sec.gov/Archives/edgar/data/737758/000073775817000012/ttc-2017q1xexhibit108.htm" TargetMode="External"/><Relationship Id="rId143" Type="http://schemas.openxmlformats.org/officeDocument/2006/relationships/hyperlink" Target="http://www.sec.gov/Archives/edgar/data/737758/000073775817000012/ttc-2017q1xexhibit109.htm" TargetMode="External"/><Relationship Id="rId144" Type="http://schemas.openxmlformats.org/officeDocument/2006/relationships/hyperlink" Target="http://www.sec.gov/Archives/edgar/data/737758/000073775817000012/ttc-2017q1xexhibit1010.htm" TargetMode="External"/><Relationship Id="rId145" Type="http://schemas.openxmlformats.org/officeDocument/2006/relationships/hyperlink" Target="http://www.sec.gov/Archives/edgar/data/737758/000073775817000012/ttc-2017q1xexhibit1011.htm" TargetMode="External"/><Relationship Id="rId146" Type="http://schemas.openxmlformats.org/officeDocument/2006/relationships/hyperlink" Target="https://www.sec.gov/Archives/edgar/data/737758/000156459022010675/ttc-ex102_16.htm" TargetMode="External"/><Relationship Id="rId147" Type="http://schemas.openxmlformats.org/officeDocument/2006/relationships/hyperlink" Target="https://www.sec.gov/Archives/edgar/data/737758/000156459022010675/ttc-ex103_17.htm" TargetMode="External"/><Relationship Id="rId148" Type="http://schemas.openxmlformats.org/officeDocument/2006/relationships/hyperlink" Target="https://www.sec.gov/Archives/edgar/data/737758/000156459022010675/ttc-ex104_18.htm" TargetMode="External"/><Relationship Id="rId149" Type="http://schemas.openxmlformats.org/officeDocument/2006/relationships/hyperlink" Target="https://www.sec.gov/Archives/edgar/data/737758/000156459022010675/ttc-ex105_19.htm" TargetMode="External"/><Relationship Id="rId150" Type="http://schemas.openxmlformats.org/officeDocument/2006/relationships/hyperlink" Target="https://www.sec.gov/Archives/edgar/data/737758/000156459022010675/ttc-ex106_20.htm" TargetMode="External"/><Relationship Id="rId151" Type="http://schemas.openxmlformats.org/officeDocument/2006/relationships/hyperlink" Target="http://www.sec.gov/Archives/edgar/data/737758/000104746916017295/a2230524zex-10_11.htm" TargetMode="External"/><Relationship Id="rId152" Type="http://schemas.openxmlformats.org/officeDocument/2006/relationships/hyperlink" Target="http://www.sec.gov/Archives/edgar/data/737758/000104746916017295/a2230524zex-10_14.htm" TargetMode="External"/><Relationship Id="rId153" Type="http://schemas.openxmlformats.org/officeDocument/2006/relationships/hyperlink" Target="http://www.sec.gov/Archives/edgar/data/737758/000104746916017295/a2230524zex-10_17.htm" TargetMode="External"/><Relationship Id="rId155" Type="http://schemas.openxmlformats.org/officeDocument/2006/relationships/hyperlink" Target="http://www.sec.gov/Archives/edgar/data/737758/000104746916017295/a2230524zex-10_18.htm" TargetMode="External"/><Relationship Id="rId156" Type="http://schemas.openxmlformats.org/officeDocument/2006/relationships/hyperlink" Target="https://www.sec.gov/Archives/edgar/data/737758/000104746916017295/a2230524zex-10_19.htm" TargetMode="External"/><Relationship Id="rId157" Type="http://schemas.openxmlformats.org/officeDocument/2006/relationships/hyperlink" Target="http://www.sec.gov/Archives/edgar/data/737758/000104746916017295/a2230524zex-10_21.htm" TargetMode="External"/><Relationship Id="rId158" Type="http://schemas.openxmlformats.org/officeDocument/2006/relationships/hyperlink" Target="http://www.sec.gov/Archives/edgar/data/737758/000110465906083580/a06-25975_3ex10du.htm" TargetMode="External"/><Relationship Id="rId159" Type="http://schemas.openxmlformats.org/officeDocument/2006/relationships/hyperlink" Target="http://www.sec.gov/Archives/edgar/data/737758/000095012311004529/c62420exv10w1.htm" TargetMode="External"/><Relationship Id="rId160" Type="http://schemas.openxmlformats.org/officeDocument/2006/relationships/hyperlink" Target="http://www.sec.gov/Archives/edgar/data/737758/000119312515295667/d37887dex101.htm" TargetMode="External"/><Relationship Id="rId161" Type="http://schemas.openxmlformats.org/officeDocument/2006/relationships/hyperlink" Target="http://www.sec.gov/Archives/edgar/data/737758/000110465916133324/a16-15127_1ex10d1.htm" TargetMode="External"/><Relationship Id="rId162" Type="http://schemas.openxmlformats.org/officeDocument/2006/relationships/hyperlink" Target="https://www.sec.gov/Archives/edgar/data/737758/000114036123007000/ny20007515x1_ex10-1.htm" TargetMode="External"/><Relationship Id="rId163" Type="http://schemas.openxmlformats.org/officeDocument/2006/relationships/hyperlink" Target="https://www.sec.gov/Archives/edgar/data/737758/000073775824000050/ttc2ndaragmt10022024.htm" TargetMode="External"/><Relationship Id="rId164" Type="http://schemas.openxmlformats.org/officeDocument/2006/relationships/hyperlink" Target="https://www.sec.gov/Archives/edgar/data/737758/000114036122016358/brhc10036785_ex10-1.htm" TargetMode="External"/><Relationship Id="rId165" Type="http://schemas.openxmlformats.org/officeDocument/2006/relationships/hyperlink" Target="https://www.sec.gov/Archives/edgar/data/0000737758/000073775823000034/ttc-10312023xex1029.htm" TargetMode="External"/><Relationship Id="rId166" Type="http://schemas.openxmlformats.org/officeDocument/2006/relationships/hyperlink" Target="http://www.sec.gov/Archives/edgar/data/737758/000156459019014346/ttc-ex101_6.htm" TargetMode="External"/><Relationship Id="rId167" Type="http://schemas.openxmlformats.org/officeDocument/2006/relationships/hyperlink" Target="https://www.sec.gov/Archives/edgar/data/737758/000114036122024615/brhc10039279_ex10-3.htm" TargetMode="External"/><Relationship Id="rId168" Type="http://schemas.openxmlformats.org/officeDocument/2006/relationships/hyperlink" Target="https://www.sec.gov/Archives/edgar/data/737758/000114036122024615/brhc10039279_ex10-1.htm" TargetMode="External"/><Relationship Id="rId169" Type="http://schemas.openxmlformats.org/officeDocument/2006/relationships/hyperlink" Target="https://www.sec.gov/Archives/edgar/data/0000737758/000073775823000034/ttc-10312023xex1033.htm" TargetMode="External"/><Relationship Id="rId170" Type="http://schemas.openxmlformats.org/officeDocument/2006/relationships/hyperlink" Target="https://www.sec.gov/Archives/edgar/data/0000737758/000073775823000034/ttc-10312023xex1034.htm" TargetMode="External"/><Relationship Id="rId171" Type="http://schemas.openxmlformats.org/officeDocument/2006/relationships/hyperlink" Target="http://www.sec.gov/Archives/edgar/data/737758/000110465916160429/a16-22419_1ex10d1.htm" TargetMode="External"/><Relationship Id="rId172" Type="http://schemas.openxmlformats.org/officeDocument/2006/relationships/hyperlink" Target="http://www.sec.gov/Archives/edgar/data/737758/000073775820000007/ttc1312020exhibit101.htm" TargetMode="External"/><Relationship Id="rId173" Type="http://schemas.openxmlformats.org/officeDocument/2006/relationships/hyperlink" Target="https://www.sec.gov/Archives/edgar/data/737758/000073775821000030/ttc-10312021xex1024.htm" TargetMode="External"/><Relationship Id="rId174" Type="http://schemas.openxmlformats.org/officeDocument/2006/relationships/hyperlink" Target="https://www.sec.gov/Archives/edgar/data/737758/000073775822000039/ttc-10312022xex1035.htm" TargetMode="External"/><Relationship Id="rId175" Type="http://schemas.openxmlformats.org/officeDocument/2006/relationships/hyperlink" Target="https://www.sec.gov/Archives/edgar/data/0000737758/000073775823000034/ttc-10312023xex1039.htm" TargetMode="External"/><Relationship Id="rId176" Type="http://schemas.openxmlformats.org/officeDocument/2006/relationships/hyperlink" Target="https://www.sec.gov/Archives/edgar/data/737758/000162828025043263/exhibit101.htm" TargetMode="External"/><Relationship Id="rId177" Type="http://schemas.openxmlformats.org/officeDocument/2006/relationships/hyperlink" Target="https://www.sec.gov/Archives/edgar/data/737758/000162828025044620/cyclonearrangementagreement.htm" TargetMode="External"/><Relationship Id="rId179" Type="http://schemas.openxmlformats.org/officeDocument/2006/relationships/hyperlink" Target="https://www.sec.gov/Archives/edgar/data/737758/000073775825000079/funkofferletter.htm" TargetMode="External"/><Relationship Id="rId180" Type="http://schemas.openxmlformats.org/officeDocument/2006/relationships/hyperlink" Target="https://www.sec.gov/Archives/edgar/data/737758/000073775824000087/ttc-10312024xe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2025-12-17T13:46:14Z</dcterms:created>
  <dcterms:modified xsi:type="dcterms:W3CDTF">2025-12-17T13:46:14Z</dcterms:modified>
</cp:coreProperties>
</file>