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August 1, 2025</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August 28, 2025 was 97,862,143.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generally relate to our future performance and may include, among others, statements relating to our anticipated operating results, liquidity requirements, and financial condition and current trends and uncertainties; the anticipated impacts of elevated field inventory levels and backlog, global supply chain disruptions, the inflationary environment, the imposition, or threat of imposition, of tariffs and strategies to mitigate the effect thereof, governmental budget cuts, current wars and international sanctions, and geopolitical tensions, tight labor markets and other macroeconomic factors; our business strategies, priorities, goals, and commitments; acquisitions and any impairment, restructuring, or other charges resulting therefrom;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lead to impairment and other charges and otherwise adversely affect our operating results and financial condition;</w:t>
      </w:r>
    </w:p>
    <w:p>
      <w:pPr>
        <w:spacing w:after="0" w:line="6"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legal and regulatory uncertainty or conflicts, including actions taken or which may be taken, such as reductions in governmental spending; monetary policy; political, geopolitical, trade, or other issues in the United States or internationally, including increased tariffs or trade wars;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businesses and its impact on demand for our products and our working capital;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ind w:left="620" w:hanging="307"/>
        <w:spacing w:after="0" w:line="24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and cost of commodities, components, parts, or accessories used in our products, including as a result of recent tariffs, and the effect of our supply chain strategies to mitigate the effect of tariffs;</w:t>
      </w: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distribution channel customers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new, expanded or emerging markets, such as the broadband, fiber, digital and data center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 or geographic mix;</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from or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Amplifying Maximum Productivity (“AMP”) initiative, in the time periods or in the magnitude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 including the effects of the One Big Beautiful Bill Act;</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environmental, health and safety laws and regulations as well as the impact of increased scrutiny on our sustainability practices, our ability to meet our sustainability company goals, and public perceptions that our products are not environmentally friendly or that our practices are not sustainable.</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Securities and Exchange Commission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1,131.3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3,444.2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749.5</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754.1</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2,290.1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2,307.5</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381.8</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402.8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1,154.1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w:t>
            </w:r>
          </w:p>
        </w:tc>
      </w:tr>
      <w:tr>
        <w:trPr>
          <w:trHeight w:val="21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40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235.9</w:t>
            </w:r>
          </w:p>
        </w:tc>
        <w:tc>
          <w:tcPr>
            <w:tcW w:w="1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254.7</w:t>
            </w:r>
          </w:p>
        </w:tc>
        <w:tc>
          <w:tcPr>
            <w:tcW w:w="1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755.6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776.0</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impairment charge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81.1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40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64.8</w:t>
            </w:r>
          </w:p>
        </w:tc>
        <w:tc>
          <w:tcPr>
            <w:tcW w:w="18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148.1</w:t>
            </w:r>
          </w:p>
        </w:tc>
        <w:tc>
          <w:tcPr>
            <w:tcW w:w="1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317.4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57.8</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144.2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292.6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49.5</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38"/>
        </w:trPr>
        <w:tc>
          <w:tcPr>
            <w:tcW w:w="5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243.1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5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7"/>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earnings per share of common stock</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73"/>
        </w:trPr>
        <w:tc>
          <w:tcPr>
            <w:tcW w:w="5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7"/>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73"/>
        </w:trPr>
        <w:tc>
          <w:tcPr>
            <w:tcW w:w="5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98.8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90"/>
        </w:trPr>
        <w:tc>
          <w:tcPr>
            <w:tcW w:w="5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17"/>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99.0</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104.5</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100.3</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7"/>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instruments, net of tax of $0.1; $(0.8); $(1.5); $(2.3), respectively</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7"/>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w:t>
            </w:r>
          </w:p>
        </w:tc>
      </w:tr>
      <w:tr>
        <w:trPr>
          <w:trHeight w:val="22"/>
        </w:trPr>
        <w:tc>
          <w:tcPr>
            <w:tcW w:w="5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201.0</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472.7</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532.3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1,036.2</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1,082.0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84.2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1,794.1</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1,913.9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629.1</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635.7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450.8</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450.2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398.6</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512.4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105.6</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113.2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41.3</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85.6</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3,519.8</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3,731.4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26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385.0</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437.8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534.3</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501.6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16.6</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955.9</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984.4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1,012.2</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966.6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92.8</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60" w:type="dxa"/>
            <w:vAlign w:val="bottom"/>
          </w:tcPr>
          <w:p>
            <w:pPr>
              <w:spacing w:after="0"/>
              <w:rPr>
                <w:sz w:val="13"/>
                <w:szCs w:val="13"/>
                <w:color w:val="auto"/>
              </w:rPr>
            </w:pPr>
          </w:p>
        </w:tc>
        <w:tc>
          <w:tcPr>
            <w:tcW w:w="14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4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97,851,312 shares as of August 1, 2025, 103,062,017 shares as of August 2,</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97.9</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103.1</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 and 101,472,125 shares as of October 31, 2024</w:t>
            </w:r>
          </w:p>
        </w:tc>
        <w:tc>
          <w:tcPr>
            <w:tcW w:w="2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1,350.7</w:t>
            </w:r>
          </w:p>
        </w:tc>
        <w:tc>
          <w:tcPr>
            <w:tcW w:w="26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1,576.2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1,411.1</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1,636.4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3,519.8</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3,731.4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243.1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329.0</w:t>
            </w: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finance affiliate, net</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6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72.6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impairment charge</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348.9</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r>
      <w:tr>
        <w:trPr>
          <w:trHeight w:val="73"/>
        </w:trPr>
        <w:tc>
          <w:tcPr>
            <w:tcW w:w="69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16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 net of cash received</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Divestitures</w:t>
            </w:r>
          </w:p>
        </w:tc>
        <w:tc>
          <w:tcPr>
            <w:tcW w:w="1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73"/>
        </w:trPr>
        <w:tc>
          <w:tcPr>
            <w:tcW w:w="69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696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Borrowings under debt arrangements</w:t>
            </w:r>
            <w:r>
              <w:rPr>
                <w:rFonts w:ascii="Times New Roman" w:cs="Times New Roman" w:eastAsia="Times New Roman" w:hAnsi="Times New Roman"/>
                <w:sz w:val="21"/>
                <w:szCs w:val="21"/>
                <w:color w:val="auto"/>
                <w:vertAlign w:val="superscript"/>
              </w:rPr>
              <w:t>1</w:t>
            </w:r>
          </w:p>
        </w:tc>
        <w:tc>
          <w:tcPr>
            <w:tcW w:w="16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840.0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220"/>
        </w:trPr>
        <w:tc>
          <w:tcPr>
            <w:tcW w:w="696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Repayments under debt arrangements</w:t>
            </w:r>
            <w:r>
              <w:rPr>
                <w:rFonts w:ascii="Times New Roman" w:cs="Times New Roman" w:eastAsia="Times New Roman" w:hAnsi="Times New Roman"/>
                <w:sz w:val="21"/>
                <w:szCs w:val="21"/>
                <w:color w:val="auto"/>
                <w:vertAlign w:val="superscript"/>
              </w:rPr>
              <w:t>1</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r>
      <w:tr>
        <w:trPr>
          <w:trHeight w:val="73"/>
        </w:trPr>
        <w:tc>
          <w:tcPr>
            <w:tcW w:w="69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17"/>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73"/>
        </w:trPr>
        <w:tc>
          <w:tcPr>
            <w:tcW w:w="69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17"/>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3"/>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199.5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38"/>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3"/>
        <w:spacing w:after="0" w:line="220" w:lineRule="auto"/>
        <w:tabs>
          <w:tab w:leader="none" w:pos="10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9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99.0</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1,419.6</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$0.38 per share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83,064 shares of common stock under stock-based compensation</w:t>
            </w:r>
          </w:p>
        </w:tc>
        <w:tc>
          <w:tcPr>
            <w:tcW w:w="9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1,245,251 shares of common stock</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53.5</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1, 2025</w:t>
            </w:r>
          </w:p>
        </w:tc>
        <w:tc>
          <w:tcPr>
            <w:tcW w:w="9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97.9</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1,350.7</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1,411.1</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9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101.5</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1,496.4</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$1.14 per share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206,816 shares of common stock under stock-based compensation</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plans, less contribution of 8,673 shares of common stock to a deferred</w:t>
            </w:r>
          </w:p>
        </w:tc>
        <w:tc>
          <w:tcPr>
            <w:tcW w:w="9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trust</w:t>
            </w:r>
          </w:p>
        </w:tc>
        <w:tc>
          <w:tcPr>
            <w:tcW w:w="9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15.3</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3,818,956 shares of common stock</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8.5</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243.1</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1, 2025</w:t>
            </w:r>
          </w:p>
        </w:tc>
        <w:tc>
          <w:tcPr>
            <w:tcW w:w="9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97.9</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1,350.7</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1,411.1</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9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104.0</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$0.36 per share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169,273 shares of common stock under stock-based compensation</w:t>
            </w:r>
          </w:p>
        </w:tc>
        <w:tc>
          <w:tcPr>
            <w:tcW w:w="9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6.5</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1,081,307 shares of common stock</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119.3</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9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103.1</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1,576.2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1,636.4</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9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103.8</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1,444.1</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$1.08 per share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493,194 shares of common stock under stock-based compensation</w:t>
            </w:r>
          </w:p>
        </w:tc>
        <w:tc>
          <w:tcPr>
            <w:tcW w:w="9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8.1</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less contribution of 54,526 shares to a deferred compensation trust</w:t>
            </w:r>
          </w:p>
        </w:tc>
        <w:tc>
          <w:tcPr>
            <w:tcW w:w="9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1,220,136 shares of common stock</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Pr>
          <w:p>
            <w:pPr>
              <w:spacing w:after="0"/>
              <w:rPr>
                <w:sz w:val="18"/>
                <w:szCs w:val="18"/>
                <w:color w:val="auto"/>
              </w:rPr>
            </w:pPr>
          </w:p>
        </w:tc>
        <w:tc>
          <w:tcPr>
            <w:tcW w:w="5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329.0</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9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103.1</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1,576.2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1,636.4</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 2025</w:t>
      </w:r>
    </w:p>
    <w:p>
      <w:pPr>
        <w:spacing w:after="0" w:line="332"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nine months ended August 1, 2025 cannot be annualized to determine the expected results for the fiscal year ending October 31, 2025.</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2024.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July 2025, the Financial Accounting Standards Board ("FASB") issued accounting standard update ("ASU") No. 2025-05, Financial Instruments—Credit Losses (Topic 326): Measurement of Credit Losses for Accounts Receivable and Contract Assets, which is intended to improve guidance on the measurement of credit losses on accounts receivable and contract assets. The amended guidance is optional and, if the company elects the practical expedient and accounting policy election, will become effective for the company's fiscal 2026 annual period and interim periods beginning with the first quarter of fiscal 2026. The company is currently evaluating the impact of this new standard on its Condensed Consolidated Financial Statements and related disclosures.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Condensed Consolidated Financial Statements and related disclosures.</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 guidance will become effective for the company's fiscal 2025 annual period, and interim periods beginning with the first quarter of fiscal 2026. The company is currently evaluating the impact of this new standard on its Condensed Consolidated Financial Statements and related disclosures.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Condensed Consolidated Financial Statements. For additional information regarding the company's supplier finance program,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700" w:hanging="679"/>
        <w:spacing w:after="0"/>
        <w:tabs>
          <w:tab w:leader="none" w:pos="7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Acquisitions and Divestitures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Distributor Acquisition</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February 3, 2025, during the second quarter of fiscal 2025, the company completed the acquisition of certain technology assets and substantially all of the assets of, and assumed certain liabilities for, a U.S. based distributor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second quarter of fiscal 2025. Additional purchase accounting disclosures have been omitted due to immateriality of this acquisition in relation to the company's Consolidated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Divestitures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Auger Boring</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third quarter of fiscal 2025, the company completed the sale of assets related to the auger boring product line, a subset of the American Augers brand. The financial results have historically been included in the company's Professional segment. The divestiture was immaterial in relation to the company's Consolidated Financial Condition and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Trencor</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During the third quarter of fiscal 2025, the company completed the sale of assets related to the Trencor brand. The financial results have historically been included in the company's Professional segment. The divestiture was immaterial in relation to the company's Consolidated Financial Condition and Results of Operations.</w:t>
      </w:r>
    </w:p>
    <w:p>
      <w:pPr>
        <w:spacing w:after="0" w:line="200" w:lineRule="exact"/>
        <w:rPr>
          <w:sz w:val="20"/>
          <w:szCs w:val="20"/>
          <w:color w:val="auto"/>
        </w:rPr>
      </w:pPr>
    </w:p>
    <w:p>
      <w:pPr>
        <w:spacing w:after="0" w:line="211"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determination is based on the manner in which the company's CODM organizes segments for making operating and investment decisions and assessing performance. The company has identified nine operating segments which are aggregated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1, 2025</w:t>
            </w:r>
          </w:p>
        </w:tc>
        <w:tc>
          <w:tcPr>
            <w:tcW w:w="16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1,131.3</w:t>
            </w:r>
          </w:p>
        </w:tc>
      </w:tr>
      <w:tr>
        <w:trPr>
          <w:trHeight w:val="217"/>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1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Earnings (loss) before income taxes</w:t>
            </w:r>
            <w:r>
              <w:rPr>
                <w:rFonts w:ascii="Times New Roman" w:cs="Times New Roman" w:eastAsia="Times New Roman" w:hAnsi="Times New Roman"/>
                <w:sz w:val="21"/>
                <w:szCs w:val="21"/>
                <w:color w:val="auto"/>
                <w:vertAlign w:val="superscript"/>
              </w:rPr>
              <w:t>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70"/>
        </w:trPr>
        <w:tc>
          <w:tcPr>
            <w:tcW w:w="4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1, 2025</w:t>
            </w:r>
          </w:p>
        </w:tc>
        <w:tc>
          <w:tcPr>
            <w:tcW w:w="1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19.3</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3,444.2</w:t>
            </w: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Earnings (loss) before income taxes</w:t>
            </w:r>
            <w:r>
              <w:rPr>
                <w:rFonts w:ascii="Times New Roman" w:cs="Times New Roman" w:eastAsia="Times New Roman" w:hAnsi="Times New Roman"/>
                <w:sz w:val="22"/>
                <w:szCs w:val="22"/>
                <w:color w:val="auto"/>
                <w:vertAlign w:val="superscript"/>
              </w:rPr>
              <w:t>1</w:t>
            </w:r>
          </w:p>
        </w:tc>
        <w:tc>
          <w:tcPr>
            <w:tcW w:w="1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r>
      <w:tr>
        <w:trPr>
          <w:trHeight w:val="21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514.8</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3,519.8</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2, 2024</w:t>
            </w:r>
          </w:p>
        </w:tc>
        <w:tc>
          <w:tcPr>
            <w:tcW w:w="16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9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8.5</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w:t>
            </w:r>
          </w:p>
        </w:tc>
      </w:tr>
      <w:tr>
        <w:trPr>
          <w:trHeight w:val="217"/>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96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73"/>
        </w:trPr>
        <w:tc>
          <w:tcPr>
            <w:tcW w:w="41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2, 2024</w:t>
            </w:r>
          </w:p>
        </w:tc>
        <w:tc>
          <w:tcPr>
            <w:tcW w:w="1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21.6</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r>
      <w:tr>
        <w:trPr>
          <w:trHeight w:val="21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439.9</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3,731.4</w:t>
            </w:r>
          </w:p>
        </w:tc>
      </w:tr>
    </w:tbl>
    <w:p>
      <w:pPr>
        <w:spacing w:after="0" w:line="177" w:lineRule="exact"/>
        <w:rPr>
          <w:sz w:val="20"/>
          <w:szCs w:val="20"/>
          <w:color w:val="auto"/>
        </w:rPr>
      </w:pPr>
    </w:p>
    <w:p>
      <w:pPr>
        <w:ind w:left="240" w:hanging="159"/>
        <w:spacing w:after="0" w:line="220" w:lineRule="auto"/>
        <w:tabs>
          <w:tab w:leader="none" w:pos="266"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Other activities earnings (loss) before income taxes includes an $81.1 million non-cash impairment charge recorded during the third quarter of fiscal 2025 related to the Spartan trade name. For additional information regarding the impairment charge, refer to Note 5, </w:t>
      </w:r>
      <w:r>
        <w:rPr>
          <w:rFonts w:ascii="Times New Roman" w:cs="Times New Roman" w:eastAsia="Times New Roman" w:hAnsi="Times New Roman"/>
          <w:sz w:val="15"/>
          <w:szCs w:val="15"/>
          <w:i w:val="1"/>
          <w:iCs w:val="1"/>
          <w:color w:val="auto"/>
        </w:rPr>
        <w:t>Goodwill and Other Intangible Assets, Net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21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162"/>
        </w:trPr>
        <w:tc>
          <w:tcPr>
            <w:tcW w:w="55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from the company's wholly-owned domestic distribution company and</w:t>
            </w:r>
          </w:p>
        </w:tc>
        <w:tc>
          <w:tcPr>
            <w:tcW w:w="3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15"/>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2"/>
        </w:trPr>
        <w:tc>
          <w:tcPr>
            <w:tcW w:w="5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40" w:hanging="159"/>
        <w:spacing w:after="0" w:line="220" w:lineRule="auto"/>
        <w:tabs>
          <w:tab w:leader="none" w:pos="25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Corporate expenses reported within Other activities operating loss before income taxes includes an $81.1 million non-cash impairment charge recorded during the third quarter of fiscal 2025 related to the Spartan trade name. For additional information regarding the impairment charge, refer to Note 5, </w:t>
      </w:r>
      <w:r>
        <w:rPr>
          <w:rFonts w:ascii="Times New Roman" w:cs="Times New Roman" w:eastAsia="Times New Roman" w:hAnsi="Times New Roman"/>
          <w:sz w:val="15"/>
          <w:szCs w:val="15"/>
          <w:i w:val="1"/>
          <w:iCs w:val="1"/>
          <w:color w:val="auto"/>
        </w:rPr>
        <w:t>Goodwill and Other Intangible Assets, Net</w:t>
      </w:r>
    </w:p>
    <w:p>
      <w:pPr>
        <w:spacing w:after="0" w:line="122"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1, 2025</w:t>
            </w:r>
          </w:p>
        </w:tc>
        <w:tc>
          <w:tcPr>
            <w:tcW w:w="16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1,014.6</w:t>
            </w:r>
          </w:p>
        </w:tc>
      </w:tr>
      <w:tr>
        <w:trPr>
          <w:trHeight w:val="220"/>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1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1,131.3</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1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w:t>
            </w:r>
          </w:p>
        </w:tc>
      </w:tr>
      <w:tr>
        <w:trPr>
          <w:trHeight w:val="220"/>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r>
      <w:tr>
        <w:trPr>
          <w:trHeight w:val="21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1,131.3</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1, 2025</w:t>
            </w:r>
          </w:p>
        </w:tc>
        <w:tc>
          <w:tcPr>
            <w:tcW w:w="17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15.4</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3,094.9</w:t>
            </w:r>
          </w:p>
        </w:tc>
      </w:tr>
      <w:tr>
        <w:trPr>
          <w:trHeight w:val="220"/>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r>
      <w:tr>
        <w:trPr>
          <w:trHeight w:val="21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19.3</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3,444.2</w:t>
            </w:r>
          </w:p>
        </w:tc>
      </w:tr>
      <w:tr>
        <w:trPr>
          <w:trHeight w:val="22"/>
        </w:trPr>
        <w:tc>
          <w:tcPr>
            <w:tcW w:w="4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0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19.3</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2,778.0</w:t>
            </w:r>
          </w:p>
        </w:tc>
      </w:tr>
      <w:tr>
        <w:trPr>
          <w:trHeight w:val="220"/>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w:t>
            </w:r>
          </w:p>
        </w:tc>
      </w:tr>
      <w:tr>
        <w:trPr>
          <w:trHeight w:val="21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19.3</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3,444.2</w:t>
            </w:r>
          </w:p>
        </w:tc>
      </w:tr>
      <w:tr>
        <w:trPr>
          <w:trHeight w:val="22"/>
        </w:trPr>
        <w:tc>
          <w:tcPr>
            <w:tcW w:w="4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August 2, 2024</w:t>
            </w:r>
          </w:p>
        </w:tc>
        <w:tc>
          <w:tcPr>
            <w:tcW w:w="16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w:t>
            </w:r>
          </w:p>
        </w:tc>
      </w:tr>
      <w:tr>
        <w:trPr>
          <w:trHeight w:val="220"/>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1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938.7</w:t>
            </w:r>
          </w:p>
        </w:tc>
      </w:tr>
      <w:tr>
        <w:trPr>
          <w:trHeight w:val="220"/>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21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August 2, 2024</w:t>
            </w:r>
          </w:p>
        </w:tc>
        <w:tc>
          <w:tcPr>
            <w:tcW w:w="17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16.0</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3,143.4</w:t>
            </w:r>
          </w:p>
        </w:tc>
      </w:tr>
      <w:tr>
        <w:trPr>
          <w:trHeight w:val="220"/>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21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2"/>
        </w:trPr>
        <w:tc>
          <w:tcPr>
            <w:tcW w:w="4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0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w:t>
            </w:r>
          </w:p>
        </w:tc>
      </w:tr>
      <w:tr>
        <w:trPr>
          <w:trHeight w:val="220"/>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r>
      <w:tr>
        <w:trPr>
          <w:trHeight w:val="213"/>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3,507.8</w:t>
            </w:r>
          </w:p>
        </w:tc>
      </w:tr>
      <w:tr>
        <w:trPr>
          <w:trHeight w:val="22"/>
        </w:trPr>
        <w:tc>
          <w:tcPr>
            <w:tcW w:w="4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August 1, 2025 and October 31, 2024, $31.9 million and $29.6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August 1, 2025, the company recognized $2.9 million and $11.4 million, respectively, of the October 31, 2024 deferred revenue balance within net sales in the Condensed Consolidated Statements of Earnings. The company expects to recognize approximately $2.7 million of the October 31, 2024 deferred revenue amount within net sales throughout the remainder of fiscal 2025, $8.0 million in fiscal 2026, and $7.5 million thereafter.</w:t>
      </w:r>
    </w:p>
    <w:p>
      <w:pPr>
        <w:spacing w:after="0" w:line="102"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During the third quarter of fiscal 2025, the company identified that future expected cash flows of the Spartan business were lower than previously expected primarily due to a decline in customer demand for many of its products associated with homeowners who prefer professional grade products.</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Based on the above factors, the company concluded it was more likely than not that the indefinite-lived Spartan trade name intangible asset was impaired. As such, during the third quarter of fiscal 2025 the company performed a quantitative impairment analysis to compare the fair value of the Spartan trade name intangible asset with its respective carrying amount.</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fair value of the Spartan trade name intangible asset was determined using the relief-from-royalty method under the income approach which utilized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Inputs used to estimate the fair value included significant unobservable inputs that reflect the company’s assumptions about the inputs that market participants would use and, therefore, the fair value assessment is classified within Level 3 of the fair value hierarchy.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a result of the analysis, during the third quarter of fiscal 2025, the company concluded that the indefinite-lived Spartan trade name intangible asset of $81.1 million, reported under the Professional segment, was fully impaired. The impairment charge is included in the Non-cash impairment charge caption on the Condensed Consolidated Statements of Earnings. The impairment charge resulted in a $19.7 million income tax benefit (deferred tax asset) associated with the remaining tax deductible basis in the intangible asset.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nine months of fiscal 2025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6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r>
      <w:tr>
        <w:trPr>
          <w:trHeight w:val="21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8"/>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1,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August 1, 2025, August 2, 2024, and October 31, 2024 were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330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 Useful</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auto"/>
            </w:tcBorders>
            <w:vMerge w:val="continue"/>
          </w:tcPr>
          <w:p>
            <w:pPr>
              <w:spacing w:after="0"/>
              <w:rPr>
                <w:sz w:val="19"/>
                <w:szCs w:val="19"/>
                <w:color w:val="auto"/>
              </w:rPr>
            </w:pPr>
          </w:p>
        </w:tc>
        <w:tc>
          <w:tcPr>
            <w:tcW w:w="33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Pr>
          <w:p>
            <w:pPr>
              <w:spacing w:after="0"/>
              <w:rPr>
                <w:sz w:val="18"/>
                <w:szCs w:val="18"/>
                <w:color w:val="auto"/>
              </w:rPr>
            </w:pP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320.0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448.0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190.5</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3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3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3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328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 Useful</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auto"/>
            </w:tcBorders>
            <w:vMerge w:val="continue"/>
          </w:tcPr>
          <w:p>
            <w:pPr>
              <w:spacing w:after="0"/>
              <w:rPr>
                <w:sz w:val="19"/>
                <w:szCs w:val="19"/>
                <w:color w:val="auto"/>
              </w:rPr>
            </w:pPr>
          </w:p>
        </w:tc>
        <w:tc>
          <w:tcPr>
            <w:tcW w:w="3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8"/>
                <w:szCs w:val="18"/>
                <w:color w:val="auto"/>
              </w:rPr>
            </w:pP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327.7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459.5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271.6</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2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731.1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328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 Useful</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auto"/>
            </w:tcBorders>
            <w:vMerge w:val="continue"/>
          </w:tcPr>
          <w:p>
            <w:pPr>
              <w:spacing w:after="0"/>
              <w:rPr>
                <w:sz w:val="19"/>
                <w:szCs w:val="19"/>
                <w:color w:val="auto"/>
              </w:rPr>
            </w:pPr>
          </w:p>
        </w:tc>
        <w:tc>
          <w:tcPr>
            <w:tcW w:w="3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tcPr>
          <w:p>
            <w:pPr>
              <w:spacing w:after="0"/>
              <w:rPr>
                <w:sz w:val="18"/>
                <w:szCs w:val="18"/>
                <w:color w:val="auto"/>
              </w:rPr>
            </w:pP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319.9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451.7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271.6</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2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and nine months ended August 1, 2025 was $7.6 million and $23.2 million, respectively. Amortization expense for finite-lived intangible assets for the three and nine months ended August 2, 2024 was $8.8 million and $26.3 million, respectively. As of August 1, 2025, estimated amortization expense for the remainder of fiscal 2025 and succeeding fiscal years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1, 2025</w:t>
            </w:r>
          </w:p>
        </w:tc>
      </w:tr>
      <w:tr>
        <w:trPr>
          <w:trHeight w:val="21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1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w:t>
            </w:r>
          </w:p>
        </w:tc>
      </w:tr>
      <w:tr>
        <w:trPr>
          <w:trHeight w:val="22"/>
        </w:trPr>
        <w:tc>
          <w:tcPr>
            <w:tcW w:w="62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5140" w:type="dxa"/>
            <w:vAlign w:val="bottom"/>
            <w:tcBorders>
              <w:bottom w:val="single" w:sz="8" w:color="auto"/>
            </w:tcBorders>
            <w:gridSpan w:val="2"/>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1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195.0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1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1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1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124.3</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18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1,032.2</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1,012.2</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August 1, 2025, principal payments required on the company's outstanding indebtedness, based on the maturity dates defined within the company's debt arrangements, for the remainder of fiscal 2025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9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1, 2025</w:t>
            </w: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1,035.0</w:t>
            </w:r>
          </w:p>
        </w:tc>
      </w:tr>
      <w:tr>
        <w:trPr>
          <w:trHeight w:val="22"/>
        </w:trPr>
        <w:tc>
          <w:tcPr>
            <w:tcW w:w="60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13"/>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0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377.4</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832.2</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0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1,209.6</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173.4</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38"/>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1,036.2</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4"/>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9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375.3</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9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682.0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19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240.4</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9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99.1</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150.5</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1,621.6</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992.5</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963.1</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629.1</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5"/>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1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84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22.4</w:t>
            </w:r>
          </w:p>
        </w:tc>
        <w:tc>
          <w:tcPr>
            <w:tcW w:w="16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67.3</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17"/>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8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8"/>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Joint Venture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August 1, 2025, August 2, 2024 and October 31, 2024 was $41.3 million, $46.4 million, and $49.2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9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9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7"/>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9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8"/>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nine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Borders>
              <w:top w:val="single" w:sz="8" w:color="auto"/>
              <w:bottom w:val="single" w:sz="8" w:color="auto"/>
            </w:tcBorders>
          </w:tcPr>
          <w:p>
            <w:pPr>
              <w:spacing w:after="0"/>
              <w:rPr>
                <w:sz w:val="20"/>
                <w:szCs w:val="20"/>
                <w:color w:val="auto"/>
              </w:rPr>
            </w:pPr>
          </w:p>
        </w:tc>
        <w:tc>
          <w:tcPr>
            <w:tcW w:w="3700" w:type="dxa"/>
            <w:vAlign w:val="bottom"/>
            <w:tcBorders>
              <w:top w:val="single" w:sz="8" w:color="auto"/>
              <w:bottom w:val="single" w:sz="8" w:color="auto"/>
            </w:tcBorders>
          </w:tcPr>
          <w:p>
            <w:pPr>
              <w:ind w:left="254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4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21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0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6.42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6.37</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00" w:type="dxa"/>
            <w:vAlign w:val="bottom"/>
          </w:tcPr>
          <w:p>
            <w:pPr>
              <w:jc w:val="center"/>
              <w:ind w:left="2078"/>
              <w:spacing w:after="0"/>
              <w:rPr>
                <w:sz w:val="20"/>
                <w:szCs w:val="20"/>
                <w:color w:val="auto"/>
              </w:rPr>
            </w:pPr>
            <w:r>
              <w:rPr>
                <w:rFonts w:ascii="Times New Roman" w:cs="Times New Roman" w:eastAsia="Times New Roman" w:hAnsi="Times New Roman"/>
                <w:sz w:val="16"/>
                <w:szCs w:val="16"/>
                <w:color w:val="auto"/>
              </w:rPr>
              <w:t>28.08%</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26.76%</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0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4.47%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3.95%</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00" w:type="dxa"/>
            <w:vAlign w:val="bottom"/>
          </w:tcPr>
          <w:p>
            <w:pPr>
              <w:jc w:val="center"/>
              <w:ind w:left="2078"/>
              <w:spacing w:after="0"/>
              <w:rPr>
                <w:sz w:val="20"/>
                <w:szCs w:val="20"/>
                <w:color w:val="auto"/>
              </w:rPr>
            </w:pPr>
            <w:r>
              <w:rPr>
                <w:rFonts w:ascii="Times New Roman" w:cs="Times New Roman" w:eastAsia="Times New Roman" w:hAnsi="Times New Roman"/>
                <w:sz w:val="16"/>
                <w:szCs w:val="16"/>
                <w:color w:val="auto"/>
              </w:rPr>
              <w:t>1.43%</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00" w:type="dxa"/>
            <w:vAlign w:val="bottom"/>
            <w:tcBorders>
              <w:bottom w:val="single" w:sz="8" w:color="auto"/>
            </w:tcBorders>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$25.52</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$30.39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but may also be granted throughout the fiscal year in connection with hiring, mid-year promotions, leadership transition, or retention, as needed and applicable.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nine months of fiscal 2025 and 2024 was $80.04 and $99.60,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nine months of fiscal 2025 and 2024 was $74.51 and $96.73,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first nine months of fiscal 2025 and 2024, 8,808 and 7,544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third quarter of fiscal 2025 and 2024.</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28.0</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80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8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37.5</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and nine month periods ended August 1, 2025 and August 2, 2024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9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Pr>
          <w:p>
            <w:pPr>
              <w:spacing w:after="0"/>
              <w:rPr>
                <w:sz w:val="19"/>
                <w:szCs w:val="19"/>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8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29.0</w:t>
            </w:r>
          </w:p>
        </w:tc>
        <w:tc>
          <w:tcPr>
            <w:tcW w:w="3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8.7</w:t>
            </w:r>
          </w:p>
        </w:tc>
        <w:tc>
          <w:tcPr>
            <w:tcW w:w="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840" w:type="dxa"/>
            <w:vAlign w:val="bottom"/>
          </w:tcPr>
          <w:p>
            <w:pPr>
              <w:spacing w:after="0"/>
              <w:rPr>
                <w:sz w:val="18"/>
                <w:szCs w:val="18"/>
                <w:color w:val="auto"/>
              </w:rPr>
            </w:pPr>
          </w:p>
        </w:tc>
        <w:tc>
          <w:tcPr>
            <w:tcW w:w="130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7"/>
              </w:rPr>
              <w:t>(1.0)</w:t>
            </w:r>
          </w:p>
        </w:tc>
        <w:tc>
          <w:tcPr>
            <w:tcW w:w="32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7"/>
              </w:rPr>
              <w:t>(1.3)</w:t>
            </w:r>
          </w:p>
        </w:tc>
        <w:tc>
          <w:tcPr>
            <w:tcW w:w="360" w:type="dxa"/>
            <w:vAlign w:val="bottom"/>
          </w:tcPr>
          <w:p>
            <w:pPr>
              <w:spacing w:after="0"/>
              <w:rPr>
                <w:sz w:val="18"/>
                <w:szCs w:val="18"/>
                <w:color w:val="auto"/>
              </w:rPr>
            </w:pPr>
          </w:p>
        </w:tc>
        <w:tc>
          <w:tcPr>
            <w:tcW w:w="1100" w:type="dxa"/>
            <w:vAlign w:val="bottom"/>
          </w:tcPr>
          <w:p>
            <w:pPr>
              <w:jc w:val="center"/>
              <w:ind w:left="658"/>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7"/>
              </w:rPr>
              <w:t>(2.2)</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6"/>
                <w:szCs w:val="16"/>
                <w:color w:val="auto"/>
                <w:w w:val="97"/>
              </w:rPr>
              <w:t>(1.0)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6"/>
                <w:szCs w:val="16"/>
                <w:color w:val="auto"/>
                <w:w w:val="97"/>
              </w:rPr>
              <w:t>(3.5)</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1, 2025</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28.0</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5.2</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5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9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Pr>
          <w:p>
            <w:pPr>
              <w:spacing w:after="0"/>
              <w:rPr>
                <w:sz w:val="19"/>
                <w:szCs w:val="19"/>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8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33.9</w:t>
            </w:r>
          </w:p>
        </w:tc>
        <w:tc>
          <w:tcPr>
            <w:tcW w:w="3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7.8</w:t>
            </w:r>
          </w:p>
        </w:tc>
        <w:tc>
          <w:tcPr>
            <w:tcW w:w="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7"/>
              </w:rPr>
              <w:t>(5.9)</w:t>
            </w:r>
          </w:p>
        </w:tc>
        <w:tc>
          <w:tcPr>
            <w:tcW w:w="32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center"/>
              <w:ind w:left="738"/>
              <w:spacing w:after="0"/>
              <w:rPr>
                <w:sz w:val="20"/>
                <w:szCs w:val="20"/>
                <w:color w:val="auto"/>
              </w:rPr>
            </w:pPr>
            <w:r>
              <w:rPr>
                <w:rFonts w:ascii="Times New Roman" w:cs="Times New Roman" w:eastAsia="Times New Roman" w:hAnsi="Times New Roman"/>
                <w:sz w:val="16"/>
                <w:szCs w:val="16"/>
                <w:color w:val="auto"/>
                <w:w w:val="99"/>
              </w:rPr>
              <w:t>1.3</w:t>
            </w:r>
          </w:p>
        </w:tc>
        <w:tc>
          <w:tcPr>
            <w:tcW w:w="360" w:type="dxa"/>
            <w:vAlign w:val="bottom"/>
          </w:tcPr>
          <w:p>
            <w:pPr>
              <w:spacing w:after="0"/>
              <w:rPr>
                <w:sz w:val="18"/>
                <w:szCs w:val="18"/>
                <w:color w:val="auto"/>
              </w:rPr>
            </w:pPr>
          </w:p>
        </w:tc>
        <w:tc>
          <w:tcPr>
            <w:tcW w:w="1100" w:type="dxa"/>
            <w:vAlign w:val="bottom"/>
          </w:tcPr>
          <w:p>
            <w:pPr>
              <w:jc w:val="center"/>
              <w:ind w:left="658"/>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7"/>
              </w:rPr>
              <w:t>(3.9)</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6"/>
                <w:szCs w:val="16"/>
                <w:color w:val="auto"/>
                <w:w w:val="97"/>
              </w:rPr>
              <w:t>(5.9)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6"/>
                <w:szCs w:val="16"/>
                <w:color w:val="auto"/>
                <w:w w:val="97"/>
              </w:rPr>
              <w:t>(2.6)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1, 2025</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28.0</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5.2</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ind w:right="17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35.8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7.1</w:t>
            </w:r>
          </w:p>
        </w:tc>
        <w:tc>
          <w:tcPr>
            <w:tcW w:w="360" w:type="dxa"/>
            <w:vAlign w:val="bottom"/>
          </w:tcPr>
          <w:p>
            <w:pPr>
              <w:spacing w:after="0"/>
              <w:rPr>
                <w:sz w:val="18"/>
                <w:szCs w:val="18"/>
                <w:color w:val="auto"/>
              </w:rPr>
            </w:pPr>
          </w:p>
        </w:tc>
        <w:tc>
          <w:tcPr>
            <w:tcW w:w="1100" w:type="dxa"/>
            <w:vAlign w:val="bottom"/>
          </w:tcPr>
          <w:p>
            <w:pPr>
              <w:jc w:val="center"/>
              <w:ind w:left="738"/>
              <w:spacing w:after="0"/>
              <w:rPr>
                <w:sz w:val="20"/>
                <w:szCs w:val="20"/>
                <w:color w:val="auto"/>
              </w:rPr>
            </w:pPr>
            <w:r>
              <w:rPr>
                <w:rFonts w:ascii="Times New Roman" w:cs="Times New Roman" w:eastAsia="Times New Roman" w:hAnsi="Times New Roman"/>
                <w:sz w:val="16"/>
                <w:szCs w:val="16"/>
                <w:color w:val="auto"/>
                <w:w w:val="9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9"/>
              </w:rPr>
              <w:t>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rPr>
              <w:t>34.8</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42.9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ind w:right="17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rPr>
              <w:t>41.7</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rPr>
              <w:t>(9.0)</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37.0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6.5</w:t>
            </w:r>
          </w:p>
        </w:tc>
        <w:tc>
          <w:tcPr>
            <w:tcW w:w="360" w:type="dxa"/>
            <w:vAlign w:val="bottom"/>
          </w:tcPr>
          <w:p>
            <w:pPr>
              <w:spacing w:after="0"/>
              <w:rPr>
                <w:sz w:val="18"/>
                <w:szCs w:val="18"/>
                <w:color w:val="auto"/>
              </w:rPr>
            </w:pPr>
          </w:p>
        </w:tc>
        <w:tc>
          <w:tcPr>
            <w:tcW w:w="1120" w:type="dxa"/>
            <w:vAlign w:val="bottom"/>
            <w:gridSpan w:val="2"/>
          </w:tcPr>
          <w:p>
            <w:pPr>
              <w:jc w:val="center"/>
              <w:ind w:left="678"/>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6.3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12.8</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9"/>
              </w:rPr>
              <w:t>5.9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rPr>
              <w:t>34.8</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42.9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40" w:type="dxa"/>
            <w:vAlign w:val="bottom"/>
            <w:tcBorders>
              <w:bottom w:val="single" w:sz="8" w:color="auto"/>
            </w:tcBorders>
            <w:gridSpan w:val="2"/>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2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17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4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i w:val="1"/>
                <w:iCs w:val="1"/>
                <w:color w:val="auto"/>
                <w:w w:val="99"/>
              </w:rPr>
              <w:t>Diluted</w:t>
            </w:r>
          </w:p>
        </w:tc>
        <w:tc>
          <w:tcPr>
            <w:tcW w:w="48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98.8</w:t>
            </w:r>
          </w:p>
        </w:tc>
        <w:tc>
          <w:tcPr>
            <w:tcW w:w="14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104.0</w:t>
            </w:r>
          </w:p>
        </w:tc>
        <w:tc>
          <w:tcPr>
            <w:tcW w:w="14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100.0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5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17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0.2</w:t>
            </w:r>
          </w:p>
        </w:tc>
        <w:tc>
          <w:tcPr>
            <w:tcW w:w="14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0.5</w:t>
            </w:r>
          </w:p>
        </w:tc>
        <w:tc>
          <w:tcPr>
            <w:tcW w:w="14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99.0</w:t>
            </w:r>
          </w:p>
        </w:tc>
        <w:tc>
          <w:tcPr>
            <w:tcW w:w="14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104.5</w:t>
            </w:r>
          </w:p>
        </w:tc>
        <w:tc>
          <w:tcPr>
            <w:tcW w:w="14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100.3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2,533,605 and 1,722,300 shares of common stock during the third quarter of fiscal 2025 and 2024, respectively, and to purchase 2,106,309 and 1,652,878 shares of common stock during the first nine months of fiscal 2025 and 2024, respectively, were excluded from the computation of diluted net earnings per share of common stock because they were anti-dilutive.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nine months ended August 1, 2025 and August 2, 2024 were $2,019.9 million and $1,882.3 million, respectively. The total amount of net receivables outstanding under this arrangement with Red Iron as of August 1, 2025, August 2, 2024, and October 31, 2024 were $821.1 million, $927.8 million and $979.6 million, respectively. The total amount of receivables due from Red Iron to the company as of August 1, 2025, August 2, 2024, and October 31, 2024 were $33.5 million, $28.6 million and $26.0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nine months ended August 1, 2025 and August 2, 2024 were $505.7 million and $442.0 million, respectively. As of August 1, 2025, August 2, 2024, and October 31, 2024, $272.1 million, $228.5 million and $272.2 million, respectively, of receivables financed by HCFC and the other third-party financial institutions were outstanding.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August 1, 2025, August 2, 2024 and October 31, 2024, the company was contingently liable to repurchase up to a maximum amount of $30.7 million, $30.2 million, and $29.5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nine months ended August 1, 2025 and August 2,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August 1, 2025, August 2, 2024 and October 31, 2024, $73.9 million, $315.3 million, and $98.8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2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2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7"/>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2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78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6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8.7</w:t>
            </w:r>
          </w:p>
        </w:tc>
        <w:tc>
          <w:tcPr>
            <w:tcW w:w="1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9.0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5.09 %</w:t>
            </w:r>
          </w:p>
        </w:tc>
        <w:tc>
          <w:tcPr>
            <w:tcW w:w="1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4.93 %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August 1,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1, 2025</w:t>
            </w: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7"/>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7"/>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38"/>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840"/>
        <w:spacing w:after="0" w:line="380" w:lineRule="auto"/>
        <w:rPr>
          <w:sz w:val="20"/>
          <w:szCs w:val="20"/>
          <w:color w:val="auto"/>
        </w:rPr>
      </w:pPr>
      <w:r>
        <w:rPr>
          <w:rFonts w:ascii="Times New Roman" w:cs="Times New Roman" w:eastAsia="Times New Roman" w:hAnsi="Times New Roman"/>
          <w:sz w:val="17"/>
          <w:szCs w:val="17"/>
          <w:color w:val="auto"/>
        </w:rPr>
        <w:t xml:space="preserve">As of August 1, 2025, the notional amount outstanding of forward currency contracts designated as cash flow hedging instruments was $356.8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
        </w:trPr>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47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nine months ended August 1, 2025 and August 2,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55"/>
        </w:trPr>
        <w:tc>
          <w:tcPr>
            <w:tcW w:w="5220" w:type="dxa"/>
            <w:vAlign w:val="bottom"/>
          </w:tcPr>
          <w:p>
            <w:pPr>
              <w:spacing w:after="0"/>
              <w:rPr>
                <w:sz w:val="13"/>
                <w:szCs w:val="13"/>
                <w:color w:val="auto"/>
              </w:rPr>
            </w:pPr>
          </w:p>
        </w:tc>
        <w:tc>
          <w:tcPr>
            <w:tcW w:w="29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Reclassified from AOCL into</w:t>
            </w:r>
          </w:p>
        </w:tc>
        <w:tc>
          <w:tcPr>
            <w:tcW w:w="200" w:type="dxa"/>
            <w:vAlign w:val="bottom"/>
          </w:tcPr>
          <w:p>
            <w:pPr>
              <w:spacing w:after="0"/>
              <w:rPr>
                <w:sz w:val="13"/>
                <w:szCs w:val="13"/>
                <w:color w:val="auto"/>
              </w:rPr>
            </w:pPr>
          </w:p>
        </w:tc>
        <w:tc>
          <w:tcPr>
            <w:tcW w:w="2820" w:type="dxa"/>
            <w:vAlign w:val="bottom"/>
            <w:gridSpan w:val="3"/>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Gain (Loss) Recognized in OCI on</w:t>
            </w:r>
          </w:p>
        </w:tc>
      </w:tr>
      <w:tr>
        <w:trPr>
          <w:trHeight w:val="219"/>
        </w:trPr>
        <w:tc>
          <w:tcPr>
            <w:tcW w:w="5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111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7"/>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w w:val="97"/>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838"/>
              <w:spacing w:after="0"/>
              <w:rPr>
                <w:sz w:val="20"/>
                <w:szCs w:val="20"/>
                <w:color w:val="auto"/>
              </w:rPr>
            </w:pPr>
            <w:r>
              <w:rPr>
                <w:rFonts w:ascii="Times New Roman" w:cs="Times New Roman" w:eastAsia="Times New Roman" w:hAnsi="Times New Roman"/>
                <w:sz w:val="16"/>
                <w:szCs w:val="16"/>
                <w:color w:val="auto"/>
                <w:w w:val="99"/>
              </w:rPr>
              <w:t>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7"/>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778"/>
              <w:spacing w:after="0"/>
              <w:rPr>
                <w:sz w:val="20"/>
                <w:szCs w:val="20"/>
                <w:color w:val="auto"/>
              </w:rPr>
            </w:pPr>
            <w:r>
              <w:rPr>
                <w:rFonts w:ascii="Times New Roman" w:cs="Times New Roman" w:eastAsia="Times New Roman" w:hAnsi="Times New Roman"/>
                <w:sz w:val="16"/>
                <w:szCs w:val="16"/>
                <w:color w:val="auto"/>
                <w:w w:val="97"/>
              </w:rPr>
              <w:t>(0.9)</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38"/>
              <w:spacing w:after="0"/>
              <w:rPr>
                <w:sz w:val="20"/>
                <w:szCs w:val="20"/>
                <w:color w:val="auto"/>
              </w:rPr>
            </w:pPr>
            <w:r>
              <w:rPr>
                <w:rFonts w:ascii="Times New Roman" w:cs="Times New Roman" w:eastAsia="Times New Roman" w:hAnsi="Times New Roman"/>
                <w:sz w:val="16"/>
                <w:szCs w:val="16"/>
                <w:color w:val="auto"/>
                <w:w w:val="99"/>
              </w:rPr>
              <w:t>3.1</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w w:val="97"/>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center"/>
              <w:ind w:left="838"/>
              <w:spacing w:after="0"/>
              <w:rPr>
                <w:sz w:val="20"/>
                <w:szCs w:val="20"/>
                <w:color w:val="auto"/>
              </w:rPr>
            </w:pPr>
            <w:r>
              <w:rPr>
                <w:rFonts w:ascii="Times New Roman" w:cs="Times New Roman" w:eastAsia="Times New Roman" w:hAnsi="Times New Roman"/>
                <w:sz w:val="16"/>
                <w:szCs w:val="16"/>
                <w:color w:val="auto"/>
                <w:w w:val="99"/>
              </w:rPr>
              <w:t>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10"/>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5"/>
        </w:trPr>
        <w:tc>
          <w:tcPr>
            <w:tcW w:w="5220" w:type="dxa"/>
            <w:vAlign w:val="bottom"/>
          </w:tcPr>
          <w:p>
            <w:pPr>
              <w:spacing w:after="0"/>
              <w:rPr>
                <w:sz w:val="13"/>
                <w:szCs w:val="13"/>
                <w:color w:val="auto"/>
              </w:rPr>
            </w:pPr>
          </w:p>
        </w:tc>
        <w:tc>
          <w:tcPr>
            <w:tcW w:w="29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Reclassified from AOCL into</w:t>
            </w:r>
          </w:p>
        </w:tc>
        <w:tc>
          <w:tcPr>
            <w:tcW w:w="200" w:type="dxa"/>
            <w:vAlign w:val="bottom"/>
          </w:tcPr>
          <w:p>
            <w:pPr>
              <w:spacing w:after="0"/>
              <w:rPr>
                <w:sz w:val="13"/>
                <w:szCs w:val="13"/>
                <w:color w:val="auto"/>
              </w:rPr>
            </w:pPr>
          </w:p>
        </w:tc>
        <w:tc>
          <w:tcPr>
            <w:tcW w:w="2820" w:type="dxa"/>
            <w:vAlign w:val="bottom"/>
            <w:gridSpan w:val="3"/>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Gain (Loss) Recognized in OCI on</w:t>
            </w:r>
          </w:p>
        </w:tc>
      </w:tr>
      <w:tr>
        <w:trPr>
          <w:trHeight w:val="219"/>
        </w:trPr>
        <w:tc>
          <w:tcPr>
            <w:tcW w:w="5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111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7"/>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798"/>
              <w:spacing w:after="0"/>
              <w:rPr>
                <w:sz w:val="20"/>
                <w:szCs w:val="20"/>
                <w:color w:val="auto"/>
              </w:rPr>
            </w:pPr>
            <w:r>
              <w:rPr>
                <w:rFonts w:ascii="Times New Roman" w:cs="Times New Roman" w:eastAsia="Times New Roman" w:hAnsi="Times New Roman"/>
                <w:sz w:val="16"/>
                <w:szCs w:val="16"/>
                <w:color w:val="auto"/>
                <w:w w:val="99"/>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79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7"/>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778"/>
              <w:spacing w:after="0"/>
              <w:rPr>
                <w:sz w:val="20"/>
                <w:szCs w:val="20"/>
                <w:color w:val="auto"/>
              </w:rPr>
            </w:pPr>
            <w:r>
              <w:rPr>
                <w:rFonts w:ascii="Times New Roman" w:cs="Times New Roman" w:eastAsia="Times New Roman" w:hAnsi="Times New Roman"/>
                <w:sz w:val="16"/>
                <w:szCs w:val="16"/>
                <w:color w:val="auto"/>
                <w:w w:val="97"/>
              </w:rPr>
              <w:t>(4.1)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38"/>
              <w:spacing w:after="0"/>
              <w:rPr>
                <w:sz w:val="20"/>
                <w:szCs w:val="20"/>
                <w:color w:val="auto"/>
              </w:rPr>
            </w:pPr>
            <w:r>
              <w:rPr>
                <w:rFonts w:ascii="Times New Roman" w:cs="Times New Roman" w:eastAsia="Times New Roman" w:hAnsi="Times New Roman"/>
                <w:sz w:val="16"/>
                <w:szCs w:val="16"/>
                <w:color w:val="auto"/>
                <w:w w:val="99"/>
              </w:rPr>
              <w:t>7.4</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w w:val="97"/>
              </w:rPr>
              <w:t>(3.9)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center"/>
              <w:ind w:left="838"/>
              <w:spacing w:after="0"/>
              <w:rPr>
                <w:sz w:val="20"/>
                <w:szCs w:val="20"/>
                <w:color w:val="auto"/>
              </w:rPr>
            </w:pPr>
            <w:r>
              <w:rPr>
                <w:rFonts w:ascii="Times New Roman" w:cs="Times New Roman" w:eastAsia="Times New Roman" w:hAnsi="Times New Roman"/>
                <w:sz w:val="16"/>
                <w:szCs w:val="16"/>
                <w:color w:val="auto"/>
                <w:w w:val="99"/>
              </w:rPr>
              <w:t>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third quarter and first nine months of fiscal 2025 and fiscal 2024, respectively, due to the discontinuance of cash flow hedge accounting on certain forward currency contracts designated as cash flow hedging instruments. As of August 1, 2025, the company expects to reclassify approximately $5.4 million of losses from AOCL to earnings during the next twelve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7"/>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(Loss) Gain Recognized in Earnings on Cash Flow Hedging Instruments</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7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(Loss) income (expense)</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1,131.3</w:t>
            </w:r>
          </w:p>
        </w:tc>
        <w:tc>
          <w:tcPr>
            <w:tcW w:w="2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1,156.9</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 recorded</w:t>
            </w:r>
          </w:p>
        </w:tc>
        <w:tc>
          <w:tcPr>
            <w:tcW w:w="2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(Loss) gain on derivatives designated as cash flow hedging instruments: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(loss) gain reclassified from AOCL into earnings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7"/>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9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7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 amounts</w:t>
            </w:r>
          </w:p>
        </w:tc>
        <w:tc>
          <w:tcPr>
            <w:tcW w:w="24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3,444.2</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(2,290.1)</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3,507.8</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which the effects of cash flow hedging instruments are recorded</w:t>
            </w: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 instruments: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24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58"/>
        </w:trPr>
        <w:tc>
          <w:tcPr>
            <w:tcW w:w="522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on derivatives not designated as cash flow hedging instruments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loss,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loss on derivatives not designated as cash flow hedging instruments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2"/>
        </w:trPr>
        <w:tc>
          <w:tcPr>
            <w:tcW w:w="5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August 1, 2025, August 2, 2024, and October 31, 2024,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57150</wp:posOffset>
            </wp:positionV>
            <wp:extent cx="3035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7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7.1</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7.1</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147955</wp:posOffset>
            </wp:positionV>
            <wp:extent cx="30359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131445</wp:posOffset>
            </wp:positionV>
            <wp:extent cx="30359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18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5, </w:t>
      </w:r>
      <w:r>
        <w:rPr>
          <w:rFonts w:ascii="Times New Roman" w:cs="Times New Roman" w:eastAsia="Times New Roman" w:hAnsi="Times New Roman"/>
          <w:sz w:val="17"/>
          <w:szCs w:val="17"/>
          <w:i w:val="1"/>
          <w:iCs w:val="1"/>
          <w:color w:val="auto"/>
        </w:rPr>
        <w:t>Goodwill and Other Intangible Assets, Net</w:t>
      </w:r>
      <w:r>
        <w:rPr>
          <w:rFonts w:ascii="Times New Roman" w:cs="Times New Roman" w:eastAsia="Times New Roman" w:hAnsi="Times New Roman"/>
          <w:sz w:val="17"/>
          <w:szCs w:val="17"/>
          <w:color w:val="auto"/>
        </w:rPr>
        <w:t>.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August 1, 2025, August 2, 2024, and October 31, 2024, the company's long-term debt included $524.3 million, $524.2 million, and $524.2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August 1, 2025, the estimated gross fair value of long-term debt with fixed interest rates was $527.9 million compared to its gross carrying amount of $524.3 million. As of August 2, 2024, the estimated gross fair value of long-term debt with fixed interest rates was $532.8 million compared to its gross carrying amount of $524.2 million. As of October 31, 2024, the estimated gross fair value of long-term debt with fixed interest rates was $520.4 million compared to its gross carrying amount of $524.2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2024.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are disclosed in our most recent Sustainability Report, which is not incorporated by reference into and does not form any part of this report.</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Tariffs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tariff environment is complex and evolving. Our business has incurred, and expects to continue to incur, additional costs as it relates to tariffs for the remainder of fiscal 2025. We have taken and will continue to take action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AMP Initiative</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first quarter of fiscal 2024, we launched a significant productivity initiative named AMP, which is a multi-year initiative intended to result in annualized cost savings of more than $100 million by fiscal 2027, driven by sustainable supply-base, design-to-value, route-to-market, and operational efficiency transformation. We expect to reinvest a portion of the savings from this initiative to drive further innovation and growth. As of the third quarter of fiscal 2025, the AMP initiative has delivered cumulative cost savings of $50.6 million and anticipated annualized cost savings of $74.5 million. Refer to the section titled "Non-GAAP Financial Measures" for information about the productivity initiative charges incurred to generate these savings.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Spartan Trade Name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During the third quarter of fiscal 2025, we recorded an impairment charge of $81.1 million related to the indefinite-lived Spartan trade name intangible asset reported under the Professional segment. Subsequent to this impairment charge, the indefinite-lived Spartan trade name intangible asset is fully impaired, resulting in a carrying value of zero. This impairment charge is included in the Non-cash impairment charge caption on the Condensed Consolidated Statements of Earnings (Loss). The impairment charge resulted in a $19.7 million income tax benefit (deferred tax asset) associated with the remaining tax deductible basis of the intangible asset. For additional information regarding the impairment charge, refer to Note 5, </w:t>
      </w:r>
      <w:r>
        <w:rPr>
          <w:rFonts w:ascii="Times New Roman" w:cs="Times New Roman" w:eastAsia="Times New Roman" w:hAnsi="Times New Roman"/>
          <w:sz w:val="17"/>
          <w:szCs w:val="17"/>
          <w:i w:val="1"/>
          <w:iCs w:val="1"/>
          <w:color w:val="auto"/>
        </w:rPr>
        <w:t>Goodwill and Other Intangible Assets, Net,</w:t>
      </w:r>
      <w:r>
        <w:rPr>
          <w:rFonts w:ascii="Times New Roman" w:cs="Times New Roman" w:eastAsia="Times New Roman" w:hAnsi="Times New Roman"/>
          <w:sz w:val="17"/>
          <w:szCs w:val="17"/>
          <w:color w:val="auto"/>
        </w:rPr>
        <w:t xml:space="preserve"> in our Notes to Condensed Consolidated Financial Statements included in Part I, Item 1 of this Quarterly Report on Form 10-Q.</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4, 2025, new U.S tax legislation was signed into law (known as the "One Big Beautiful Bill Act" or "OBBB") which makes permanent many of the tax provisions enacted in 2017 as part of the Tax Cuts and Jobs Act that were set to expire at the end of 2025. In addition, the OBBB makes changes to certain U.S. corporate tax provisions, but many are generally not effective until 2026 or later. The Company is currently evaluating the impact of the new legislation but does not expect it to have a material impact on the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Consolidated net sales for the third quarter of fiscal 2025 were $1,131.3 million, down 2.2 percent compared to $1,156.9 million in the third quarter of fiscal 2024. For the first nine months of fiscal 2025, consolidated net sales were $3,444.2 million, down 1.8 percent compared to $3,507.8 million from the same period in the prior fiscal year.</w:t>
      </w:r>
    </w:p>
    <w:p>
      <w:pPr>
        <w:spacing w:after="0" w:line="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Professional segment net sales for the third quarter of fiscal 2025 were $930.8 million, an increase of 5.7 percent compared to $880.9 million in the third quarter of the prior fiscal year. For the first nine months of fiscal 2025, Professional segment net sales were $2,713.7 million, an increase of 2.7 percent compared to $2,643.0 million in the prior fiscal year comparable period.</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Residential segment net sales for the third quarter of fiscal 2025 were $192.8 million, a decrease of 27.9 percent compared to $267.5 million in the third quarter of the prior fiscal year. For the first nine months of fiscal 2025, Residential segment net sales were $711.2 million, a decrease of 15.7 percent compared to $843.2 million in the prior fiscal year comparable period.</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third quarter of fiscal 2025 were $53.5 million, or $0.54 per diluted share, compared to $119.3 million, or $1.14 per diluted share, for the third quarter of fiscal 2024. Net earnings for the first nine months of fiscal 2025 were $243.1 million, or $2.42 per diluted share, compared to $329.0 million, or $3.14 per diluted share, in the comparable fiscal 2024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net earnings for the third quarter of fiscal 2025 were $122.5 million, or $1.24 per diluted share, compared to $123.7 million, or $1.18 per diluted share, for the third quarter of fiscal 2024. Adjusted net earnings for the first nine months of fiscal 2025 were $330.2 million, or $3.29 per diluted share, compared to $337.5 million, or $3.22 per diluted share, in the comparable fiscal 2024 period.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maintained our tradition of paying quarterly cash dividends and increased our cash dividend for the third quarter of fiscal 2025 by 5.6 percent to $0.38 per share compared to $0.36 per share paid in the third quarter of fiscal 2024.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$403.8 million of cash to our shareholders during the first nine months of fiscal 2025.</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Field inventory levels were higher as of the end of the third quarter of fiscal 2025 compared to the end of the third quarter of fiscal 2024, primarily due to increased balances of underground construction products, partially offset by dealer destocking efforts for turf products.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lower as of the end of the third quarter of fiscal 2025 compared to the end of the fourth quarter of fiscal 2024 primarily due to improved manufacturing output and more normalized order patterns. Although manufacturing output and lead times for underground construction and golf and grounds products have improved, sustained demand for those products continues to keep order backlog elevated over what the company would consider normal.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Consolidated net sales for the third quarter of fiscal 2025 were $1,131.3 million, down 2.2 percent compared to $1,156.9 million in the third quarter of fiscal 2024. For the year-to-date period of fiscal 2025, consolidated net sales were $3,444.2 million, down 1.8 percent compared to $3,507.8 million from the same period in the prior fiscal year. The decrease for both the third quarter and year-to-date comparisons was primarily driven by lower shipments of Residential segment products and prior year divestitures, partially offset by higher shipments of Professional segment products and net price realization.</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sales in international markets decreased by $19.0 million and $25.2 million for the third quarter and year-to-date periods of fiscal 2025, respectively. The decrease for both the third quarter and year-to-date comparisons was primarily driven by lower shipments of both Residential and Professional segment products.</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Changes in foreign currency exchange rates resulted in an increase in our net sales of approximately $1.1 million and a decrease of approximately $5.3 million for the third quarter and year-to-date periods of fiscal 2025, respectively.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2"/>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60" w:type="dxa"/>
            <w:vAlign w:val="bottom"/>
            <w:tcBorders>
              <w:bottom w:val="single" w:sz="8" w:color="auto"/>
            </w:tcBorders>
            <w:gridSpan w:val="2"/>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4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5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100.0 %</w:t>
            </w:r>
          </w:p>
        </w:tc>
        <w:tc>
          <w:tcPr>
            <w:tcW w:w="14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100.0 %</w:t>
            </w:r>
          </w:p>
        </w:tc>
        <w:tc>
          <w:tcPr>
            <w:tcW w:w="15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100.0 %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(66.3)</w:t>
            </w:r>
          </w:p>
        </w:tc>
        <w:tc>
          <w:tcPr>
            <w:tcW w:w="14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(65.2)</w:t>
            </w:r>
          </w:p>
        </w:tc>
        <w:tc>
          <w:tcPr>
            <w:tcW w:w="15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(66.5)</w:t>
            </w:r>
          </w:p>
        </w:tc>
        <w:tc>
          <w:tcPr>
            <w:tcW w:w="13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(65.8)</w:t>
            </w:r>
          </w:p>
        </w:tc>
      </w:tr>
      <w:tr>
        <w:trPr>
          <w:trHeight w:val="216"/>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33.7</w:t>
            </w:r>
          </w:p>
        </w:tc>
        <w:tc>
          <w:tcPr>
            <w:tcW w:w="14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34.8</w:t>
            </w:r>
          </w:p>
        </w:tc>
        <w:tc>
          <w:tcPr>
            <w:tcW w:w="15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33.5</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34.2</w:t>
            </w:r>
          </w:p>
        </w:tc>
      </w:tr>
      <w:tr>
        <w:trPr>
          <w:trHeight w:val="217"/>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(20.8)</w:t>
            </w:r>
          </w:p>
        </w:tc>
        <w:tc>
          <w:tcPr>
            <w:tcW w:w="14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(22.0)</w:t>
            </w:r>
          </w:p>
        </w:tc>
        <w:tc>
          <w:tcPr>
            <w:tcW w:w="150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(21.9)</w:t>
            </w:r>
          </w:p>
        </w:tc>
        <w:tc>
          <w:tcPr>
            <w:tcW w:w="13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(22.1)</w:t>
            </w:r>
          </w:p>
        </w:tc>
      </w:tr>
      <w:tr>
        <w:trPr>
          <w:trHeight w:val="220"/>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impairment charge</w:t>
            </w:r>
          </w:p>
        </w:tc>
        <w:tc>
          <w:tcPr>
            <w:tcW w:w="26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(7.2)</w:t>
            </w:r>
          </w:p>
        </w:tc>
        <w:tc>
          <w:tcPr>
            <w:tcW w:w="148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(2.4)</w:t>
            </w:r>
          </w:p>
        </w:tc>
        <w:tc>
          <w:tcPr>
            <w:tcW w:w="1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6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5.7</w:t>
            </w:r>
          </w:p>
        </w:tc>
        <w:tc>
          <w:tcPr>
            <w:tcW w:w="14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12.8</w:t>
            </w:r>
          </w:p>
        </w:tc>
        <w:tc>
          <w:tcPr>
            <w:tcW w:w="15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9.2</w:t>
            </w: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12.1</w:t>
            </w: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(1.3)</w:t>
            </w:r>
          </w:p>
        </w:tc>
        <w:tc>
          <w:tcPr>
            <w:tcW w:w="14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(1.3)</w:t>
            </w:r>
          </w:p>
        </w:tc>
        <w:tc>
          <w:tcPr>
            <w:tcW w:w="15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(1.3)</w:t>
            </w:r>
          </w:p>
        </w:tc>
        <w:tc>
          <w:tcPr>
            <w:tcW w:w="13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(1.4)</w:t>
            </w:r>
          </w:p>
        </w:tc>
      </w:tr>
      <w:tr>
        <w:trPr>
          <w:trHeight w:val="217"/>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0.7</w:t>
            </w:r>
          </w:p>
        </w:tc>
        <w:tc>
          <w:tcPr>
            <w:tcW w:w="14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0.9</w:t>
            </w:r>
          </w:p>
        </w:tc>
        <w:tc>
          <w:tcPr>
            <w:tcW w:w="15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0.6</w:t>
            </w:r>
          </w:p>
        </w:tc>
        <w:tc>
          <w:tcPr>
            <w:tcW w:w="1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5.1</w:t>
            </w:r>
          </w:p>
        </w:tc>
        <w:tc>
          <w:tcPr>
            <w:tcW w:w="14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12.5</w:t>
            </w:r>
          </w:p>
        </w:tc>
        <w:tc>
          <w:tcPr>
            <w:tcW w:w="150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8.5</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11.5</w:t>
            </w:r>
          </w:p>
        </w:tc>
      </w:tr>
      <w:tr>
        <w:trPr>
          <w:trHeight w:val="217"/>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(0.4)</w:t>
            </w:r>
          </w:p>
        </w:tc>
        <w:tc>
          <w:tcPr>
            <w:tcW w:w="14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(2.2)</w:t>
            </w:r>
          </w:p>
        </w:tc>
        <w:tc>
          <w:tcPr>
            <w:tcW w:w="15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(2.1)</w:t>
            </w:r>
          </w:p>
        </w:tc>
      </w:tr>
      <w:tr>
        <w:trPr>
          <w:trHeight w:val="238"/>
        </w:trPr>
        <w:tc>
          <w:tcPr>
            <w:tcW w:w="4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4.7 %</w:t>
            </w:r>
          </w:p>
        </w:tc>
        <w:tc>
          <w:tcPr>
            <w:tcW w:w="14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10.3 %</w:t>
            </w:r>
          </w:p>
        </w:tc>
        <w:tc>
          <w:tcPr>
            <w:tcW w:w="15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7.1 %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third quarter of fiscal 2025 was $381.8 million, down 5.2 percent compared to $402.8 million for the third quarter of fiscal 2024. Gross margin was 33.7 percent for the third quarter of fiscal 2025 compared to 34.8 percent for the third quarter of fiscal 2024, a decrease of 110 basis points. The decrease in gross margin for the third quarter comparison was primarily due to lower net sales volume, higher material and manufacturing costs, and inventory valuation adjustments, partially offset by productivity improvements, net price realization, and product mix.</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year-to-date period of fiscal 2025 was $1,154.1 million, down 3.8 percent compared to $1,200.3 million for the same period of fiscal 2024. Gross margin was 33.5 percent for the year-to-date period of fiscal 2025 compared to 34.2 percent for the prior year comparable period, a decrease of 70 basis points. The decrease in gross margin for the year-to-date comparison was primarily due to lower net sales volume, higher material and manufacturing costs, and inventory valuation adjustments, partially offset by productivity improvements, net price realization, and product mix.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SG&amp;A expense decreased $18.8 million, or 7.4 percent, for the third quarter of fiscal 2025 and decreased $20.4 million, or 2.6 percent, for the year-to-date period of fiscal 2025 compared to the same respective periods of fiscal 2024. As a percentage of net sales, SG&amp;A expense decreased 120 basis points for the third quarter of fiscal 2025 and decreased 20 basis points for the year-to-date period of fiscal 2025 compared to the same respective periods of fiscal 2024. The decrease in SG&amp;A expense as a percentage of net sales for the third quarter and year-to-date comparisons was primarily due to cost savings measures and lower marketing costs, partially offset by lower net sales volume.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Non-Cash Impairment Charge</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recorded a non-cash impairment charge of $81.1 million within our Professional segment related to the Spartan trade name in the third quarter and year-to-date period of fiscal 2025. No impairment charge was recognized in the third quarter or year-to-date period of fiscal 2024.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increased $0.6 million and decreased $1.5 million for the third quarter and year-to-date periods of fiscal 2025, respectively, compared to the same respective periods of fiscal 2024. The increase in interest expense for the third quarter comparison was primarily due to higher average outstanding borrowings, partially offset by lower average interest rates. The decrease in interest expense for the year-to-date comparison was primarily due to lower average interest rates.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Other income, net decreased $2.5 million and decreased $5.5 million for the third quarter and year-to-date periods of fiscal 2025, respectively, compared to the same respective periods of fiscal 2024. The decrease in other income, net for the third quarter comparison was primarily due to prior year net gains on divestitures and current year net losses on divestitures, partially offset by the favorable impact from derivative instruments. The decrease in other income, net for the year-to-date comparison was primarily due to prior year net gains on divestitures, current year net losses on divestitures, and lower income from our Red Iron joint venture, partially offset by the favorable impact from derivative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third quarter of fiscal 2025 was 7.4 percent compared to 17.3 percent in the third quarter of fiscal 2024, primarily due to the impact of the non-cash impairment charge and a more favorable geographic mix of earnings, partially offset by lower tax benefits recorded as excess tax deductions for stock-based compensation. The effective tax rate for the year-to-date period of fiscal 2025 was 16.9 percent compared to 18.5 percent in the same period of fiscal 2024, primarily due to the impact of the non-cash impairment charge and a more favorable geographic mix of earnings, partially offset by lower tax benefits recorded as excess tax deductions for stock-based compensation. The adjusted effective tax rate for the third quarter of fiscal 2025 was 17.3 percent, compared to an adjusted effective tax rate of 18.0 percent in the third quarter of fiscal 2024, primarily driven by a more favorable geographic mix of earnings. The adjusted effective tax rate for the year-to-date period of fiscal 2025 was 18.5 percent, compared to 19.3 percent in the same period of fiscal 2024, primarily driven by a more favorable geographic mix of earnings.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earnings for the third quarter of fiscal 2025 were $53.5 million, or $0.54 per diluted share, compared to $119.3 million, or $1.14 per diluted share, for the third quarter of fiscal 2024. Adjusted net earnings for the third quarter of fiscal 2025 were $122.5 million, or $1.24 per diluted share, compared to $123.7 million, or $1.18 per diluted share, for the third quarter of fiscal 2024, an increase of 5.1 percent per diluted share. Net earnings for the first nine months of fiscal 2025 were $243.1 million, or $2.42 per diluted share, compared to $329.0 million, or $3.14 per diluted share, for the same period of fiscal 2024. Adjusted net earnings for the first nine months of fiscal 2025 were $330.2 million, or $3.29 per diluted share, compared to $337.5 million, or $3.22 per diluted share, for the same year-to-date period of fiscal 2024, an increase of 2.2 percent per diluted share. The decrease in net earnings per diluted share for the third quarter comparison was primarily due to the $81.1 million non-cash impairment charge and lower Residential segment earnings, partially offset by higher Professional segment earnings. The decrease in net earnings per diluted share for the year-to-date comparison was primarily due to the $81.1 million non-cash impairment charge, lower Residential segment earnings, and higher productivity initiative charges, partially offset by higher Professional segment earnings.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60" w:type="dxa"/>
            <w:vAlign w:val="bottom"/>
          </w:tcPr>
          <w:p>
            <w:pPr>
              <w:spacing w:after="0"/>
              <w:rPr>
                <w:sz w:val="13"/>
                <w:szCs w:val="13"/>
                <w:color w:val="auto"/>
              </w:rPr>
            </w:pPr>
          </w:p>
        </w:tc>
        <w:tc>
          <w:tcPr>
            <w:tcW w:w="120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00" w:type="dxa"/>
            <w:vAlign w:val="bottom"/>
          </w:tcPr>
          <w:p>
            <w:pPr>
              <w:spacing w:after="0"/>
              <w:rPr>
                <w:sz w:val="13"/>
                <w:szCs w:val="13"/>
                <w:color w:val="auto"/>
              </w:rPr>
            </w:pPr>
          </w:p>
        </w:tc>
        <w:tc>
          <w:tcPr>
            <w:tcW w:w="118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930.8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49.9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6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192.8</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24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(74.7)</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1,131.3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84"/>
        </w:trPr>
        <w:tc>
          <w:tcPr>
            <w:tcW w:w="3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199.2</w:t>
            </w:r>
          </w:p>
        </w:tc>
        <w:tc>
          <w:tcPr>
            <w:tcW w:w="2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(19.0)</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60" w:type="dxa"/>
            <w:vAlign w:val="bottom"/>
          </w:tcPr>
          <w:p>
            <w:pPr>
              <w:spacing w:after="0"/>
              <w:rPr>
                <w:sz w:val="13"/>
                <w:szCs w:val="13"/>
                <w:color w:val="auto"/>
              </w:rPr>
            </w:pPr>
          </w:p>
        </w:tc>
        <w:tc>
          <w:tcPr>
            <w:tcW w:w="120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00" w:type="dxa"/>
            <w:vAlign w:val="bottom"/>
          </w:tcPr>
          <w:p>
            <w:pPr>
              <w:spacing w:after="0"/>
              <w:rPr>
                <w:sz w:val="13"/>
                <w:szCs w:val="13"/>
                <w:color w:val="auto"/>
              </w:rPr>
            </w:pPr>
          </w:p>
        </w:tc>
        <w:tc>
          <w:tcPr>
            <w:tcW w:w="118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2,713.7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70.7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6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711.2</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24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(132.0)</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3,444.2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(63.6)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84"/>
        </w:trPr>
        <w:tc>
          <w:tcPr>
            <w:tcW w:w="3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666.2</w:t>
            </w:r>
          </w:p>
        </w:tc>
        <w:tc>
          <w:tcPr>
            <w:tcW w:w="2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(25.2)</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Pr>
          <w:p>
            <w:pPr>
              <w:spacing w:after="0"/>
              <w:rPr>
                <w:sz w:val="13"/>
                <w:szCs w:val="13"/>
                <w:color w:val="auto"/>
              </w:rPr>
            </w:pPr>
          </w:p>
        </w:tc>
        <w:tc>
          <w:tcPr>
            <w:tcW w:w="120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Pr>
          <w:p>
            <w:pPr>
              <w:spacing w:after="0"/>
              <w:rPr>
                <w:sz w:val="13"/>
                <w:szCs w:val="13"/>
                <w:color w:val="auto"/>
              </w:rPr>
            </w:pPr>
          </w:p>
        </w:tc>
        <w:tc>
          <w:tcPr>
            <w:tcW w:w="122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Pr>
          <w:p>
            <w:pPr>
              <w:spacing w:after="0"/>
              <w:rPr>
                <w:sz w:val="13"/>
                <w:szCs w:val="13"/>
                <w:color w:val="auto"/>
              </w:rPr>
            </w:pPr>
          </w:p>
        </w:tc>
        <w:tc>
          <w:tcPr>
            <w:tcW w:w="1320" w:type="dxa"/>
            <w:vAlign w:val="bottom"/>
          </w:tcPr>
          <w:p>
            <w:pPr>
              <w:jc w:val="center"/>
              <w:ind w:right="15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5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9"/>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w w:val="99"/>
              </w:rPr>
              <w:t>32.8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0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32.6</w:t>
            </w:r>
          </w:p>
        </w:tc>
        <w:tc>
          <w:tcPr>
            <w:tcW w:w="220" w:type="dxa"/>
            <w:vAlign w:val="bottom"/>
          </w:tcPr>
          <w:p>
            <w:pPr>
              <w:spacing w:after="0"/>
              <w:rPr>
                <w:sz w:val="18"/>
                <w:szCs w:val="18"/>
                <w:color w:val="auto"/>
              </w:rPr>
            </w:pPr>
          </w:p>
        </w:tc>
        <w:tc>
          <w:tcPr>
            <w:tcW w:w="1320" w:type="dxa"/>
            <w:vAlign w:val="bottom"/>
          </w:tcPr>
          <w:p>
            <w:pPr>
              <w:jc w:val="center"/>
              <w:ind w:left="638"/>
              <w:spacing w:after="0"/>
              <w:rPr>
                <w:sz w:val="20"/>
                <w:szCs w:val="20"/>
                <w:color w:val="auto"/>
              </w:rPr>
            </w:pPr>
            <w:r>
              <w:rPr>
                <w:rFonts w:ascii="Times New Roman" w:cs="Times New Roman" w:eastAsia="Times New Roman" w:hAnsi="Times New Roman"/>
                <w:sz w:val="16"/>
                <w:szCs w:val="16"/>
                <w:color w:val="auto"/>
              </w:rPr>
              <w:t>(28.9)</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2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6"/>
                <w:szCs w:val="16"/>
                <w:color w:val="auto"/>
              </w:rPr>
              <w:t>(90.3)</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57.8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6"/>
                <w:szCs w:val="16"/>
                <w:color w:val="auto"/>
              </w:rPr>
              <w:t>(86.4)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Pr>
          <w:p>
            <w:pPr>
              <w:spacing w:after="0"/>
              <w:rPr>
                <w:sz w:val="13"/>
                <w:szCs w:val="13"/>
                <w:color w:val="auto"/>
              </w:rPr>
            </w:pPr>
          </w:p>
        </w:tc>
        <w:tc>
          <w:tcPr>
            <w:tcW w:w="120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60" w:type="dxa"/>
            <w:vAlign w:val="bottom"/>
          </w:tcPr>
          <w:p>
            <w:pPr>
              <w:spacing w:after="0"/>
              <w:rPr>
                <w:sz w:val="13"/>
                <w:szCs w:val="13"/>
                <w:color w:val="auto"/>
              </w:rPr>
            </w:pPr>
          </w:p>
        </w:tc>
        <w:tc>
          <w:tcPr>
            <w:tcW w:w="122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2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5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527.8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469.2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58.6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0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92.2</w:t>
            </w:r>
          </w:p>
        </w:tc>
        <w:tc>
          <w:tcPr>
            <w:tcW w:w="22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(55.2)</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2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(114.3)</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292.6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403.5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(110.9)</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Worldwide net sales for our Professional segment for the third quarter of fiscal 2025 increased 5.7 percent compared to the third quarter of fiscal 2024. This increase was driven primarily by higher shipments of underground construction and golf and grounds products, as well as net price realization, partially offset by prior year divestitures. Worldwide net sales for our Professional segment for the year-to-date period of fiscal 2025 increased 2.7 percent compared to the same period of fiscal 2024. This increase was driven primarily by higher shipments of golf and grounds products, underground construction products, and zero-turn mowers, as well as net price realization, partially offset by lower shipments of specialty construction products and prior year divestitures.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Professional segment earnings for the third quarter of fiscal 2025 increased 19.8 percent compared to the third quarter of fiscal 2024, and Professional segment earnings margin increased to 21.3 percent from 18.8 percent in the third quarter of fiscal 2024. The increase in Professional segment earnings margin was primarily due to productivity improvements, net price realization, net sales leverage, cost savings measures, and lower marketing costs, partially offset by higher material and manufacturing costs. Professional segment earnings for the year-to-date period of fiscal 2025 increased 12.5 percent compared to the same period of fiscal 2024, and Professional segment margin increased to 19.4 percent from 17.8 percent for the year-to-date period of fiscal 2024. The increase in Professional segment earnings margin was primarily due to productivity improvements, net sales leverage, net price realization, cost savings measures, lower marketing costs, and product mix, partially offset by higher material and manufacturing costs and inventory valuation adjustments.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Worldwide net sales for our Residential segment for the third quarter of fiscal 2025 decreased 27.9 percent compared to the third quarter of fiscal 2024. The decrease in Residential segment net sales was primarily driven by lower shipments broadly across the segment. Worldwide net sales for our Residential segment for the year-to-date period of fiscal 2025 decreased 15.7 percent compared to the same period of fiscal 2024. The decrease in Residential segment net sales was primarily driven by lower shipments broadly across the segment as well as the prior year Pope divestiture.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Residential segment earnings for the third quarter of fiscal 2025 decreased 88.7 percent compared to the third quarter of fiscal 2024, and Residential segment earnings margin decreased to 1.9 percent from 12.2 percent in the third quarter of fiscal 2024. The decrease in Residential segment earnings margin for the third quarter of fiscal 2025 was primarily due to lower net sales volume, higher material and manufacturing costs, inventory valuation adjustments, and higher sales promotions and incentives, partially offset by productivity improvements and cost savings measures. Residential segment earnings for the year-to-date period of fiscal 2025 decreased 59.9 percent compared to the same period of fiscal 2024, and Residential segment earnings margin decreased to 5.2 percent from 10.9 percent in the year-to-date period of fiscal 2024. The decrease in Residential segment earnings margin for the year-to-date period of fiscal 2025 was primarily due to lower net sales volume, higher material and manufacturing costs, and inventory valuation adjustments, partially offset by productivity improvements and cost savings measures.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third quarter of fiscal 2025 decreased by $0.8 million compared to the third quarter of fiscal 2024. Net sales for our Other activities in the year-to-date period of fiscal 2025 decreased by $2.3 million compared to the same period in fiscal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operating loss for our Other activities for the third quarter of fiscal 2025 increased $90.3 million compared to the third quarter of fiscal 2024, primarily due to the non-cash impairment charge and higher productivity initiative charges. The operating loss of our Other Activities for the year-to-date period of fiscal 2025 increased $114.3 million compared to same period in fiscal 2024, primarily due to the non-cash impairment charge and higher productivity initiative charges.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third quarter of fiscal 2025 decreased $59.6 million, or 11.2 percent, compared to the end of the third quarter of fiscal 2024, primarily driven by timing of shipments. Inventory levels were down $45.8 million, or 4.2 percent, as of the third quarter of fiscal 2025 compared to the third quarter of fiscal 2024, primarily driven by lower raw materials and work in process balances. Accounts payable decreased $52.8 million, or 12.1 percent, as of the end of the third quarter of fiscal 2025 compared to the end of the third quarter of fiscal 2024, primarily due to lower inventory purchases.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provided by operating activities for the first nine months of fiscal 2025 was $348.9 million compared to $329.8 million for the first nine months of fiscal 2024. This change was primarily due to favorable variations in working capital.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first nine months of fiscal 2025 was $50.7 million compared to $43.4 million for the first nine months of fiscal 2024. This change was primarily due to lower proceeds from divestitures and higher cash used for acquisitions, partially offset by lower purchases of property, plant, and equipment.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used in financing activities for the first nine months of fiscal 2025 was $298.1 million compared to $260.5 million for the first nine months of fiscal 2024, primarily due to higher common stock repurchases, partially offset by higher borrowings under debt arrangements.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August 1, 2025, we had available liquidity of $983.9 million, consisting of cash and cash equivalents of $201.0 million, of which $120.8 million was held by our foreign subsidiaries, and availability under our revolving credit facility of $782.9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2024.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2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82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195.0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82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82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82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124.3</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8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82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1,032.2</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8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8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1,012.2</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2"/>
        </w:trPr>
        <w:tc>
          <w:tcPr>
            <w:tcW w:w="4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From time to time, we may seek to refinance existing debt and incur additional indebtedness depending on our capital requirements and the availability and cost of financing.</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August 1, 2025, we had $115.0 million outstanding borrowings under our revolving credit facility and $2.1 million outstanding under the sublimit for standby letters of credit, which resulted in $782.9 million of unutilized availability under our revolving credit facility's $900 million borrowing capacity.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$0.38 per share for the third quarter of fiscal 2025 that was paid on July 11, 2025. This was an increase of 5.6 percent over our cash dividend of $0.36 per share for the third quarter of fiscal 2024. We expect to continue paying our quarterly cash dividend to shareholders for the remainder of fiscal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Repurchases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nine months of fiscal 2025, we repurchased 3,780,167 shares of our common stock under our stock repurchase program, thereby reducing our total shares of common stock outstanding. As of August 1, 2025, 4,391,790 shares of common stock remained available for repurchase under our stock repurchase program. We expect to continue to repurchase shares of our common stock throughout the remainder of fiscal 2025, depending on our cash balance, debt repayments, market conditions, our anticipated working capital needs, the price of our common stock, investment priorities, and/or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2024. There have been no material changes to our customer financing arrangements during the first nine months of fiscal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nine month periods ended August 1, 2025 and August 2, 2024 were $2,019.9 million and $1,882.3 million, respectively. The total amount of net receivables outstanding under the arrangement with Red Iron as of August 1, 2025, August 2, 2024 and October 31, 2024 were $821.1 million, $927.8 million and $979.6 million, respectively. The total amount of receivables due from Red Iron to us as of August 1, 2025, August 2, 2024 and October 31, 2024 were $33.5 million, $28.6 million and $26.0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nine month periods ended August 1, 2025 and August 2, 2024 were $505.7 million and $442.0 million, respectively. The total amount of net receivables outstanding under the arrangements with HCFC and the other third-party financial institutions as of August 1, 2025, August 2, 2024, and October 31, 2024 were $272.1 million, $228.5 million, and $272.2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August 1, 2025, August 2, 2024, and October 31, 2024, we were contingently liable to repurchase up to a maximum amount of $30.7 million, $30.2 million, and $29.5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nine months ended August 1, 2025 and August 2, 2024.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as an alternative to, and should be considered in conjunction with, the most directly comparable U.S. GAAP financial measures. The non-GAAP financial measures may differ from similar measures used by other companies.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and nine month periods ended August 1, 2025 and August 2,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381.8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402.8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1,154.1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1,200.3</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6.9</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389.0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409.7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1,168.8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1,207.2</w:t>
            </w:r>
          </w:p>
        </w:tc>
      </w:tr>
      <w:tr>
        <w:trPr>
          <w:trHeight w:val="73"/>
        </w:trPr>
        <w:tc>
          <w:tcPr>
            <w:tcW w:w="4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r>
      <w:tr>
        <w:trPr>
          <w:trHeight w:val="73"/>
        </w:trPr>
        <w:tc>
          <w:tcPr>
            <w:tcW w:w="4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317.4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424.3</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40" w:type="dxa"/>
            <w:vAlign w:val="bottom"/>
          </w:tcPr>
          <w:p>
            <w:pPr>
              <w:spacing w:after="0"/>
              <w:rPr>
                <w:sz w:val="19"/>
                <w:szCs w:val="19"/>
                <w:color w:val="auto"/>
              </w:rPr>
            </w:pP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tcPr>
          <w:p>
            <w:pPr>
              <w:spacing w:after="0"/>
              <w:rPr>
                <w:sz w:val="19"/>
                <w:szCs w:val="19"/>
                <w:color w:val="auto"/>
              </w:rPr>
            </w:pP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tcPr>
          <w:p>
            <w:pPr>
              <w:spacing w:after="0"/>
              <w:rPr>
                <w:sz w:val="19"/>
                <w:szCs w:val="19"/>
                <w:color w:val="auto"/>
              </w:rPr>
            </w:pP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29.9</w:t>
            </w:r>
          </w:p>
        </w:tc>
        <w:tc>
          <w:tcPr>
            <w:tcW w:w="18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19.2</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1"/>
                <w:szCs w:val="21"/>
                <w:color w:val="auto"/>
                <w:vertAlign w:val="superscript"/>
              </w:rPr>
              <w:t>2</w:t>
            </w:r>
          </w:p>
        </w:tc>
        <w:tc>
          <w:tcPr>
            <w:tcW w:w="1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159.0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428.4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443.5</w:t>
            </w:r>
          </w:p>
        </w:tc>
      </w:tr>
      <w:tr>
        <w:trPr>
          <w:trHeight w:val="73"/>
        </w:trPr>
        <w:tc>
          <w:tcPr>
            <w:tcW w:w="4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1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1"/>
                <w:szCs w:val="21"/>
                <w:color w:val="auto"/>
                <w:vertAlign w:val="superscript"/>
              </w:rPr>
              <w:t>2</w:t>
            </w: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1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73"/>
        </w:trPr>
        <w:tc>
          <w:tcPr>
            <w:tcW w:w="4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57.8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292.6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403.5</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40" w:type="dxa"/>
            <w:vAlign w:val="bottom"/>
          </w:tcPr>
          <w:p>
            <w:pPr>
              <w:spacing w:after="0"/>
              <w:rPr>
                <w:sz w:val="19"/>
                <w:szCs w:val="19"/>
                <w:color w:val="auto"/>
              </w:rPr>
            </w:pP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9.2</w:t>
            </w:r>
          </w:p>
        </w:tc>
        <w:tc>
          <w:tcPr>
            <w:tcW w:w="180" w:type="dxa"/>
            <w:vAlign w:val="bottom"/>
          </w:tcPr>
          <w:p>
            <w:pPr>
              <w:spacing w:after="0"/>
              <w:rPr>
                <w:sz w:val="19"/>
                <w:szCs w:val="19"/>
                <w:color w:val="auto"/>
              </w:rPr>
            </w:pP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spacing w:after="0"/>
              <w:rPr>
                <w:sz w:val="19"/>
                <w:szCs w:val="19"/>
                <w:color w:val="auto"/>
              </w:rPr>
            </w:pP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14.9</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1"/>
                <w:szCs w:val="21"/>
                <w:color w:val="auto"/>
                <w:vertAlign w:val="superscript"/>
              </w:rPr>
              <w:t>2</w:t>
            </w:r>
          </w:p>
        </w:tc>
        <w:tc>
          <w:tcPr>
            <w:tcW w:w="1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148.1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405.1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418.4</w:t>
            </w:r>
          </w:p>
        </w:tc>
      </w:tr>
      <w:tr>
        <w:trPr>
          <w:trHeight w:val="73"/>
        </w:trPr>
        <w:tc>
          <w:tcPr>
            <w:tcW w:w="4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24.9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49.5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74.5</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2.9</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1"/>
                <w:szCs w:val="21"/>
                <w:color w:val="auto"/>
                <w:vertAlign w:val="superscript"/>
              </w:rPr>
              <w:t>2</w:t>
            </w:r>
          </w:p>
        </w:tc>
        <w:tc>
          <w:tcPr>
            <w:tcW w:w="1340" w:type="dxa"/>
            <w:vAlign w:val="bottom"/>
          </w:tcPr>
          <w:p>
            <w:pPr>
              <w:spacing w:after="0"/>
              <w:rPr>
                <w:sz w:val="19"/>
                <w:szCs w:val="19"/>
                <w:color w:val="auto"/>
              </w:rPr>
            </w:pP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19.7</w:t>
            </w:r>
          </w:p>
        </w:tc>
        <w:tc>
          <w:tcPr>
            <w:tcW w:w="180" w:type="dxa"/>
            <w:vAlign w:val="bottom"/>
          </w:tcPr>
          <w:p>
            <w:pPr>
              <w:spacing w:after="0"/>
              <w:rPr>
                <w:sz w:val="19"/>
                <w:szCs w:val="19"/>
                <w:color w:val="auto"/>
              </w:rPr>
            </w:pP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19.7</w:t>
            </w:r>
          </w:p>
        </w:tc>
        <w:tc>
          <w:tcPr>
            <w:tcW w:w="18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3</w:t>
            </w:r>
          </w:p>
        </w:tc>
        <w:tc>
          <w:tcPr>
            <w:tcW w:w="1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25.6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27.1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74.9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80.9</w:t>
            </w:r>
          </w:p>
        </w:tc>
      </w:tr>
      <w:tr>
        <w:trPr>
          <w:trHeight w:val="99"/>
        </w:trPr>
        <w:tc>
          <w:tcPr>
            <w:tcW w:w="4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53.5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243.1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329.0</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25.7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12.0</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 net of tax</w:t>
            </w:r>
            <w:r>
              <w:rPr>
                <w:rFonts w:ascii="Times New Roman" w:cs="Times New Roman" w:eastAsia="Times New Roman" w:hAnsi="Times New Roman"/>
                <w:sz w:val="21"/>
                <w:szCs w:val="21"/>
                <w:color w:val="auto"/>
                <w:vertAlign w:val="superscript"/>
              </w:rPr>
              <w:t>2</w:t>
            </w:r>
          </w:p>
        </w:tc>
        <w:tc>
          <w:tcPr>
            <w:tcW w:w="1340" w:type="dxa"/>
            <w:vAlign w:val="bottom"/>
          </w:tcPr>
          <w:p>
            <w:pPr>
              <w:spacing w:after="0"/>
              <w:rPr>
                <w:sz w:val="19"/>
                <w:szCs w:val="19"/>
                <w:color w:val="auto"/>
              </w:rPr>
            </w:pP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61.4</w:t>
            </w:r>
          </w:p>
        </w:tc>
        <w:tc>
          <w:tcPr>
            <w:tcW w:w="180" w:type="dxa"/>
            <w:vAlign w:val="bottom"/>
          </w:tcPr>
          <w:p>
            <w:pPr>
              <w:spacing w:after="0"/>
              <w:rPr>
                <w:sz w:val="19"/>
                <w:szCs w:val="19"/>
                <w:color w:val="auto"/>
              </w:rPr>
            </w:pP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61.4</w:t>
            </w:r>
          </w:p>
        </w:tc>
        <w:tc>
          <w:tcPr>
            <w:tcW w:w="18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1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122.5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123.7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330.2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337.5</w:t>
            </w:r>
          </w:p>
        </w:tc>
      </w:tr>
      <w:tr>
        <w:trPr>
          <w:trHeight w:val="99"/>
        </w:trPr>
        <w:tc>
          <w:tcPr>
            <w:tcW w:w="4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2.42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3.14</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0.08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0.05</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0.26</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0.11</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Non-cash impairment charge, net of tax</w:t>
            </w:r>
            <w:r>
              <w:rPr>
                <w:rFonts w:ascii="Times New Roman" w:cs="Times New Roman" w:eastAsia="Times New Roman" w:hAnsi="Times New Roman"/>
                <w:sz w:val="21"/>
                <w:szCs w:val="21"/>
                <w:color w:val="auto"/>
                <w:vertAlign w:val="superscript"/>
              </w:rPr>
              <w:t>2</w:t>
            </w:r>
          </w:p>
        </w:tc>
        <w:tc>
          <w:tcPr>
            <w:tcW w:w="1340" w:type="dxa"/>
            <w:vAlign w:val="bottom"/>
          </w:tcPr>
          <w:p>
            <w:pPr>
              <w:spacing w:after="0"/>
              <w:rPr>
                <w:sz w:val="19"/>
                <w:szCs w:val="19"/>
                <w:color w:val="auto"/>
              </w:rPr>
            </w:pPr>
          </w:p>
        </w:tc>
        <w:tc>
          <w:tcPr>
            <w:tcW w:w="1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0.62</w:t>
            </w:r>
          </w:p>
        </w:tc>
        <w:tc>
          <w:tcPr>
            <w:tcW w:w="180" w:type="dxa"/>
            <w:vAlign w:val="bottom"/>
          </w:tcPr>
          <w:p>
            <w:pPr>
              <w:spacing w:after="0"/>
              <w:rPr>
                <w:sz w:val="19"/>
                <w:szCs w:val="19"/>
                <w:color w:val="auto"/>
              </w:rPr>
            </w:pPr>
          </w:p>
        </w:tc>
        <w:tc>
          <w:tcPr>
            <w:tcW w:w="128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0.61</w:t>
            </w:r>
          </w:p>
        </w:tc>
        <w:tc>
          <w:tcPr>
            <w:tcW w:w="180" w:type="dxa"/>
            <w:vAlign w:val="bottom"/>
          </w:tcPr>
          <w:p>
            <w:pPr>
              <w:spacing w:after="0"/>
              <w:rPr>
                <w:sz w:val="19"/>
                <w:szCs w:val="19"/>
                <w:color w:val="auto"/>
              </w:rPr>
            </w:pP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1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(0.03)</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3.22</w:t>
            </w:r>
          </w:p>
        </w:tc>
      </w:tr>
      <w:tr>
        <w:trPr>
          <w:trHeight w:val="99"/>
        </w:trPr>
        <w:tc>
          <w:tcPr>
            <w:tcW w:w="4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Non-cash impairment charge</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5"/>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1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40" w:hanging="159"/>
        <w:spacing w:after="0" w:line="234" w:lineRule="auto"/>
        <w:tabs>
          <w:tab w:leader="none" w:pos="22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nine month periods ended August 1, 2025 and August 2, 2024 primarily represent severance and termination benefits, facility exit costs, compensation for fully-dedicated AMP personnel, third-party consulting costs, and product-line exit costs.</w:t>
      </w:r>
    </w:p>
    <w:p>
      <w:pPr>
        <w:spacing w:after="0" w:line="96" w:lineRule="exact"/>
        <w:rPr>
          <w:sz w:val="20"/>
          <w:szCs w:val="20"/>
          <w:color w:val="auto"/>
        </w:rPr>
      </w:pPr>
    </w:p>
    <w:p>
      <w:pPr>
        <w:ind w:left="240" w:hanging="159"/>
        <w:spacing w:after="0" w:line="227" w:lineRule="auto"/>
        <w:tabs>
          <w:tab w:leader="none" w:pos="253"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the end of the third quarter of fiscal 2025, the company recorded a non-cash impairment charge within Other activities related to the Spartan trade name, as discussed in more detail under the heading "Company Overview-Impairment" in this section.</w:t>
      </w:r>
    </w:p>
    <w:p>
      <w:pPr>
        <w:spacing w:after="0" w:line="82" w:lineRule="exact"/>
        <w:rPr>
          <w:sz w:val="20"/>
          <w:szCs w:val="20"/>
          <w:color w:val="auto"/>
        </w:rPr>
      </w:pPr>
    </w:p>
    <w:p>
      <w:pPr>
        <w:jc w:val="both"/>
        <w:ind w:left="240" w:hanging="159"/>
        <w:spacing w:after="0" w:line="234" w:lineRule="auto"/>
        <w:tabs>
          <w:tab w:leader="none" w:pos="305"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August 1, 2025 and August 2,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net of proceeds from insurance claim. Free cash flow conversion percentage represents free cash flow as a percentage of net earnings, excluding the non-cash impairment charge.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August 1, 2025 and August 2, 2024:</w:t>
      </w:r>
    </w:p>
    <w:p>
      <w:pPr>
        <w:spacing w:after="0" w:line="10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August 1, 2025</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August 2, 2024</w:t>
            </w:r>
          </w:p>
        </w:tc>
      </w:tr>
      <w:tr>
        <w:trPr>
          <w:trHeight w:val="21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348.9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329.8</w:t>
            </w:r>
          </w:p>
        </w:tc>
      </w:tr>
      <w:tr>
        <w:trPr>
          <w:trHeight w:val="217"/>
        </w:trPr>
        <w:tc>
          <w:tcPr>
            <w:tcW w:w="7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 net of proceeds from insurance claim</w:t>
            </w: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57.0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59.3</w:t>
            </w:r>
          </w:p>
        </w:tc>
      </w:tr>
      <w:tr>
        <w:trPr>
          <w:trHeight w:val="216"/>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291.9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270.5</w:t>
            </w:r>
          </w:p>
        </w:tc>
      </w:tr>
      <w:tr>
        <w:trPr>
          <w:trHeight w:val="217"/>
        </w:trPr>
        <w:tc>
          <w:tcPr>
            <w:tcW w:w="7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 excluding the non-cash impairment charge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324.2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329.0</w:t>
            </w:r>
          </w:p>
        </w:tc>
      </w:tr>
      <w:tr>
        <w:trPr>
          <w:trHeight w:val="238"/>
        </w:trPr>
        <w:tc>
          <w:tcPr>
            <w:tcW w:w="7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1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82.2 %</w:t>
            </w:r>
          </w:p>
        </w:tc>
      </w:tr>
      <w:tr>
        <w:trPr>
          <w:trHeight w:val="20"/>
        </w:trPr>
        <w:tc>
          <w:tcPr>
            <w:tcW w:w="7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Annual Report on Form 10-K for the fiscal year ended October 31, 2024.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2024 for a discussion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2024. Refer to Part II, Item 7A, "Quantitative and Qualitative Disclosures about Market Risk", within our Annual Report on Form 10-K for the fiscal year ended October 31, 2024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2025 through fiscal 2028. All items are non-trading and stated in U.S. dollars. As of August 1, 2025,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2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0.6533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83.1</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0.9</w:t>
            </w:r>
          </w:p>
        </w:tc>
        <w:tc>
          <w:tcPr>
            <w:tcW w:w="0" w:type="dxa"/>
            <w:vAlign w:val="bottom"/>
          </w:tcPr>
          <w:p>
            <w:pPr>
              <w:spacing w:after="0"/>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1.3626</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48.4</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380" w:type="dxa"/>
            <w:vAlign w:val="bottom"/>
          </w:tcPr>
          <w:p>
            <w:pPr>
              <w:spacing w:after="0"/>
              <w:rPr>
                <w:sz w:val="18"/>
                <w:szCs w:val="18"/>
                <w:color w:val="auto"/>
              </w:rPr>
            </w:pPr>
          </w:p>
        </w:tc>
        <w:tc>
          <w:tcPr>
            <w:tcW w:w="112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9"/>
              </w:rPr>
              <w:t>0.1</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1.1270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201.3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1.2911</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60.5</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80" w:type="dxa"/>
            <w:vAlign w:val="bottom"/>
          </w:tcPr>
          <w:p>
            <w:pPr>
              <w:spacing w:after="0"/>
              <w:rPr>
                <w:sz w:val="18"/>
                <w:szCs w:val="18"/>
                <w:color w:val="auto"/>
              </w:rPr>
            </w:pPr>
          </w:p>
        </w:tc>
        <w:tc>
          <w:tcPr>
            <w:tcW w:w="1120" w:type="dxa"/>
            <w:vAlign w:val="bottom"/>
          </w:tcPr>
          <w:p>
            <w:pPr>
              <w:jc w:val="center"/>
              <w:ind w:left="678"/>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20.5161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64.1</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August 1, 2025 includes $524.3 million of gross fixed-rate long-term debt that is not subject to variable interest rate fluctuations, $395.0 million of gross variable rate debt under our term loan credit agreements, and $115.0 million outstanding under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August 1, 2025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Periodically, the company's Board of Directors authorizes the repurchase of shares of the company's common stock in open-market or privately negotiated transactions under the company's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the company's common stock repurchased by the company during each of the three fiscal months in the company's third quarter ended August 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4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(or Units)</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248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Repurchased As</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56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w:t>
            </w:r>
          </w:p>
        </w:tc>
        <w:tc>
          <w:tcPr>
            <w:tcW w:w="0" w:type="dxa"/>
            <w:vAlign w:val="bottom"/>
          </w:tcPr>
          <w:p>
            <w:pPr>
              <w:spacing w:after="0"/>
              <w:rPr>
                <w:sz w:val="1"/>
                <w:szCs w:val="1"/>
                <w:color w:val="auto"/>
              </w:rPr>
            </w:pPr>
          </w:p>
        </w:tc>
      </w:tr>
      <w:tr>
        <w:trPr>
          <w:trHeight w:val="168"/>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480" w:type="dxa"/>
            <w:vAlign w:val="bottom"/>
          </w:tcPr>
          <w:p>
            <w:pPr>
              <w:ind w:left="1140"/>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560" w:type="dxa"/>
            <w:vAlign w:val="bottom"/>
            <w:gridSpan w:val="2"/>
            <w:vMerge w:val="continue"/>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Repurchased Under the</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auto"/>
            </w:tcBorders>
            <w:vMerge w:val="continue"/>
          </w:tcPr>
          <w:p>
            <w:pPr>
              <w:spacing w:after="0"/>
              <w:rPr>
                <w:sz w:val="19"/>
                <w:szCs w:val="19"/>
                <w:color w:val="auto"/>
              </w:rPr>
            </w:pPr>
          </w:p>
        </w:tc>
        <w:tc>
          <w:tcPr>
            <w:tcW w:w="2480" w:type="dxa"/>
            <w:vAlign w:val="bottom"/>
            <w:tcBorders>
              <w:bottom w:val="single" w:sz="8" w:color="auto"/>
            </w:tcBorders>
          </w:tcPr>
          <w:p>
            <w:pPr>
              <w:ind w:left="1160"/>
              <w:spacing w:after="0" w:line="220" w:lineRule="exact"/>
              <w:rPr>
                <w:sz w:val="20"/>
                <w:szCs w:val="20"/>
                <w:color w:val="auto"/>
              </w:rPr>
            </w:pPr>
            <w:r>
              <w:rPr>
                <w:rFonts w:ascii="Times New Roman" w:cs="Times New Roman" w:eastAsia="Times New Roman" w:hAnsi="Times New Roman"/>
                <w:sz w:val="16"/>
                <w:szCs w:val="16"/>
                <w:b w:val="1"/>
                <w:bCs w:val="1"/>
                <w:color w:val="auto"/>
              </w:rPr>
              <w:t>Repurchased</w:t>
            </w:r>
            <w:r>
              <w:rPr>
                <w:rFonts w:ascii="Times New Roman" w:cs="Times New Roman" w:eastAsia="Times New Roman" w:hAnsi="Times New Roman"/>
                <w:sz w:val="21"/>
                <w:szCs w:val="21"/>
                <w:b w:val="1"/>
                <w:bCs w:val="1"/>
                <w:color w:val="auto"/>
                <w:vertAlign w:val="superscript"/>
              </w:rPr>
              <w:t>1,2,3</w:t>
            </w:r>
          </w:p>
        </w:tc>
        <w:tc>
          <w:tcPr>
            <w:tcW w:w="156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per Share (or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1,2</w:t>
            </w: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3, 2025 through May 30, 2025</w:t>
            </w:r>
          </w:p>
        </w:tc>
        <w:tc>
          <w:tcPr>
            <w:tcW w:w="24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340,400</w:t>
            </w:r>
          </w:p>
        </w:tc>
        <w:tc>
          <w:tcPr>
            <w:tcW w:w="6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73.44</w:t>
            </w:r>
          </w:p>
        </w:tc>
        <w:tc>
          <w:tcPr>
            <w:tcW w:w="18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340,400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5,281,264</w:t>
            </w:r>
          </w:p>
        </w:tc>
        <w:tc>
          <w:tcPr>
            <w:tcW w:w="0" w:type="dxa"/>
            <w:vAlign w:val="bottom"/>
          </w:tcPr>
          <w:p>
            <w:pPr>
              <w:spacing w:after="0"/>
              <w:rPr>
                <w:sz w:val="1"/>
                <w:szCs w:val="1"/>
                <w:color w:val="auto"/>
              </w:rPr>
            </w:pPr>
          </w:p>
        </w:tc>
      </w:tr>
      <w:tr>
        <w:trPr>
          <w:trHeight w:val="21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31, 2025 through July 4, 2025</w:t>
            </w:r>
          </w:p>
        </w:tc>
        <w:tc>
          <w:tcPr>
            <w:tcW w:w="24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350,806</w:t>
            </w:r>
          </w:p>
        </w:tc>
        <w:tc>
          <w:tcPr>
            <w:tcW w:w="6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71.26</w:t>
            </w:r>
          </w:p>
        </w:tc>
        <w:tc>
          <w:tcPr>
            <w:tcW w:w="18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350,806</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4,930,458</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5, 2025 through August 1, 2025</w:t>
            </w:r>
          </w:p>
        </w:tc>
        <w:tc>
          <w:tcPr>
            <w:tcW w:w="24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540,278</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74.26</w:t>
            </w:r>
          </w:p>
        </w:tc>
        <w:tc>
          <w:tcPr>
            <w:tcW w:w="18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538,668</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4,391,790</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1,231,484</w:t>
            </w:r>
          </w:p>
        </w:tc>
        <w:tc>
          <w:tcPr>
            <w:tcW w:w="6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73.18</w:t>
            </w:r>
          </w:p>
        </w:tc>
        <w:tc>
          <w:tcPr>
            <w:tcW w:w="18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1,229,874</w:t>
            </w: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5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35" w:lineRule="auto"/>
        <w:tabs>
          <w:tab w:leader="none" w:pos="212"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up to 5,000,000 shares of common stock under the stock repurchase program. The company repurchased 1,229,874 shares under this tranche of the stock repurchase program during the period indicated above and as a result, 391,790 shares remained available to repurchase as of August 1, 2025.</w:t>
      </w:r>
    </w:p>
    <w:p>
      <w:pPr>
        <w:spacing w:after="0" w:line="81" w:lineRule="exact"/>
        <w:rPr>
          <w:sz w:val="20"/>
          <w:szCs w:val="20"/>
          <w:color w:val="auto"/>
        </w:rPr>
      </w:pPr>
    </w:p>
    <w:p>
      <w:pPr>
        <w:ind w:left="160" w:hanging="157"/>
        <w:spacing w:after="0" w:line="227" w:lineRule="auto"/>
        <w:tabs>
          <w:tab w:leader="none" w:pos="186"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10, 2024, the company’s Board of Directors authorized the repurchase of up to an additional 4,000,000 shares of common stock under the stock repurchase program. No shares were repurchased under this tranche of the stock repurchase program during the time period indicated above.</w:t>
      </w:r>
    </w:p>
    <w:p>
      <w:pPr>
        <w:spacing w:after="0" w:line="82" w:lineRule="exact"/>
        <w:rPr>
          <w:sz w:val="20"/>
          <w:szCs w:val="20"/>
          <w:color w:val="auto"/>
        </w:rPr>
      </w:pPr>
    </w:p>
    <w:p>
      <w:pPr>
        <w:ind w:left="160" w:hanging="157"/>
        <w:spacing w:after="0" w:line="227" w:lineRule="auto"/>
        <w:tabs>
          <w:tab w:leader="none" w:pos="186"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1,610 shares of the company’s common stock repurchased in open-market transactions at an average price of $75.19 per share on behalf of a rabbi trust formed to pay benefit obligations of the company to participants in the company's deferred compensation plans. These 1,610 shares were not repurchased under the stock repurchase program.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third quarter ended August 1, 2025,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80" w:type="dxa"/>
            <w:vAlign w:val="bottom"/>
            <w:tcBorders>
              <w:top w:val="single" w:sz="8" w:color="auto"/>
              <w:bottom w:val="single" w:sz="8" w:color="auto"/>
            </w:tcBorders>
            <w:gridSpan w:val="19"/>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20" w:type="dxa"/>
            <w:vAlign w:val="bottom"/>
            <w:gridSpan w:val="20"/>
          </w:tcPr>
          <w:p>
            <w:pPr>
              <w:spacing w:after="0" w:line="161"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5"/>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80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20" w:type="dxa"/>
            <w:vAlign w:val="bottom"/>
            <w:gridSpan w:val="20"/>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20" w:type="dxa"/>
            <w:vAlign w:val="bottom"/>
            <w:gridSpan w:val="20"/>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3"/>
          </w:tcPr>
          <w:p>
            <w:pPr>
              <w:spacing w:after="0" w:line="135"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30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20" w:type="dxa"/>
            <w:vAlign w:val="bottom"/>
            <w:gridSpan w:val="20"/>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20" w:type="dxa"/>
            <w:vAlign w:val="bottom"/>
            <w:gridSpan w:val="20"/>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1"/>
          </w:tcPr>
          <w:p>
            <w:pPr>
              <w:spacing w:after="0" w:line="135" w:lineRule="exact"/>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0" w:type="dxa"/>
            <w:vAlign w:val="bottom"/>
            <w:gridSpan w:val="14"/>
          </w:tcPr>
          <w:p>
            <w:pPr>
              <w:spacing w:after="0" w:line="148"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20" w:type="dxa"/>
            <w:vAlign w:val="bottom"/>
            <w:gridSpan w:val="20"/>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8"/>
          </w:tcPr>
          <w:p>
            <w:pPr>
              <w:spacing w:after="0" w:line="135" w:lineRule="exact"/>
              <w:rPr>
                <w:rFonts w:ascii="Times New Roman" w:cs="Times New Roman" w:eastAsia="Times New Roman" w:hAnsi="Times New Roman"/>
                <w:sz w:val="15"/>
                <w:szCs w:val="15"/>
                <w:color w:val="0000FF"/>
              </w:rPr>
            </w:pPr>
            <w:hyperlink r:id="rId61">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20" w:type="dxa"/>
            <w:vAlign w:val="bottom"/>
            <w:tcBorders>
              <w:top w:val="single" w:sz="8" w:color="0000FF"/>
            </w:tcBorders>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20" w:type="dxa"/>
            <w:vAlign w:val="bottom"/>
            <w:gridSpan w:val="20"/>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tcBorders>
            <w:gridSpan w:val="19"/>
          </w:tcPr>
          <w:p>
            <w:pPr>
              <w:spacing w:after="0" w:line="135" w:lineRule="exact"/>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35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20" w:type="dxa"/>
            <w:vAlign w:val="bottom"/>
            <w:gridSpan w:val="20"/>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Offer Letter dated August 7, 2025 between The Toro Company and Edric J. Funk (incorporated by reference to Exhibit 10.1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50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Current Report on Form 8-K dated August 12, 2025, Commission File No. 1-8649).</w:t>
              </w:r>
            </w:hyperlink>
          </w:p>
        </w:tc>
        <w:tc>
          <w:tcPr>
            <w:tcW w:w="4060" w:type="dxa"/>
            <w:vAlign w:val="bottom"/>
            <w:tcBorders>
              <w:top w:val="single" w:sz="8" w:color="0000FF"/>
            </w:tcBorders>
            <w:gridSpan w:val="10"/>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97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4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100" w:type="dxa"/>
            <w:vAlign w:val="bottom"/>
            <w:tcBorders>
              <w:top w:val="single" w:sz="8" w:color="0000FF"/>
            </w:tcBorders>
            <w:gridSpan w:val="15"/>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680" w:right="20" w:hanging="1259"/>
        <w:spacing w:after="0" w:line="221" w:lineRule="auto"/>
        <w:tabs>
          <w:tab w:leader="none" w:pos="168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August 1, 2025, filed with the SEC on September 4, 2025, formatted in Inline eXtensible Business Reporting Language (Inline XBRL): (i) Condensed Consolidated Statements of Earnings for the three and nine month periods ended August 1, 2025 and August 2, 2024, (ii) Condensed</w:t>
      </w:r>
    </w:p>
    <w:p>
      <w:pPr>
        <w:ind w:left="1680"/>
        <w:spacing w:after="0" w:line="203" w:lineRule="auto"/>
        <w:rPr>
          <w:sz w:val="20"/>
          <w:szCs w:val="20"/>
          <w:color w:val="auto"/>
        </w:rPr>
      </w:pPr>
      <w:r>
        <w:rPr>
          <w:rFonts w:ascii="Times New Roman" w:cs="Times New Roman" w:eastAsia="Times New Roman" w:hAnsi="Times New Roman"/>
          <w:sz w:val="16"/>
          <w:szCs w:val="16"/>
          <w:color w:val="auto"/>
        </w:rPr>
        <w:t>Consolidated Statements of Comprehensive Income (Loss) for the three and nine month periods ended August 1, 2025 and August 2, 2024,</w:t>
      </w:r>
    </w:p>
    <w:p>
      <w:pPr>
        <w:jc w:val="both"/>
        <w:ind w:left="1680" w:right="20" w:firstLine="7"/>
        <w:spacing w:after="0" w:line="223" w:lineRule="auto"/>
        <w:tabs>
          <w:tab w:leader="none" w:pos="199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Condensed Consolidated Balance Sheets as of August 1, 2025, August 2, 2024, and October 31, 2024, (iv) Condensed Consolidated Statement of Cash Flows for the nine month periods ended August 1, 2025 and August 2, 2024, (v) Condensed Consolidated Statements of Stockholders' Equity for the three and nine month periods ended August 1, 2025 and August 2, 2024, and (vi) Notes to Condensed Consolidated Financial Statements (filed herewith).</w:t>
      </w:r>
    </w:p>
    <w:p>
      <w:pPr>
        <w:spacing w:after="0" w:line="61" w:lineRule="exact"/>
        <w:rPr>
          <w:sz w:val="20"/>
          <w:szCs w:val="20"/>
          <w:color w:val="auto"/>
        </w:rPr>
      </w:pPr>
    </w:p>
    <w:p>
      <w:pPr>
        <w:ind w:left="1680" w:hanging="1259"/>
        <w:spacing w:after="0"/>
        <w:tabs>
          <w:tab w:leader="none" w:pos="168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61" w:lineRule="exact"/>
        <w:rPr>
          <w:rFonts w:ascii="Times New Roman" w:cs="Times New Roman" w:eastAsia="Times New Roman" w:hAnsi="Times New Roman"/>
          <w:sz w:val="16"/>
          <w:szCs w:val="16"/>
          <w:b w:val="1"/>
          <w:bCs w:val="1"/>
          <w:color w:val="auto"/>
        </w:rPr>
      </w:pPr>
    </w:p>
    <w:p>
      <w:pPr>
        <w:ind w:left="55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TORO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 September 4, 2025</w:t>
            </w:r>
          </w:p>
        </w:tc>
        <w:tc>
          <w:tcPr>
            <w:tcW w:w="242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Angela C. Drake</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2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4,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4,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August 1, 2025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4, 2025</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4, 2025</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3"/>
      <w:numFmt w:val="bullet"/>
      <w:start w:val="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5"/>
      <w:numFmt w:val="bullet"/>
      <w:start w:val="1"/>
    </w:lvl>
  </w:abstractNum>
  <w:abstractNum w:abstractNumId="12">
    <w:nsid w:val="436C6125"/>
    <w:multiLevelType w:val="hybridMultilevel"/>
    <w:lvl w:ilvl="0">
      <w:lvlJc w:val="left"/>
      <w:lvlText w:val="7"/>
      <w:numFmt w:val="bullet"/>
      <w:start w:val="1"/>
    </w:lvl>
  </w:abstractNum>
  <w:abstractNum w:abstractNumId="13">
    <w:nsid w:val="628C895D"/>
    <w:multiLevelType w:val="hybridMultilevel"/>
    <w:lvl w:ilvl="0">
      <w:lvlJc w:val="left"/>
      <w:lvlText w:val="8"/>
      <w:numFmt w:val="bullet"/>
      <w:start w:val="1"/>
    </w:lvl>
  </w:abstractNum>
  <w:abstractNum w:abstractNumId="14">
    <w:nsid w:val="333AB105"/>
    <w:multiLevelType w:val="hybridMultilevel"/>
    <w:lvl w:ilvl="0">
      <w:lvlJc w:val="left"/>
      <w:lvlText w:val="9"/>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2"/>
      <w:numFmt w:val="bullet"/>
      <w:start w:val="1"/>
    </w:lvl>
  </w:abstractNum>
  <w:abstractNum w:abstractNumId="18">
    <w:nsid w:val="6763845E"/>
    <w:multiLevelType w:val="hybridMultilevel"/>
    <w:lvl w:ilvl="0">
      <w:lvlJc w:val="left"/>
      <w:lvlText w:val="3"/>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3"/>
      <w:numFmt w:val="bullet"/>
      <w:start w:val="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1)"/>
      <w:numFmt w:val="lowerRoman"/>
      <w:start w:val="3"/>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57" Type="http://schemas.openxmlformats.org/officeDocument/2006/relationships/hyperlink" Target="https://www.sec.gov/Archives/edgar/data/737758/000073775808000033/form8-k06172008exhibitcert.htm" TargetMode="External"/><Relationship Id="rId58" Type="http://schemas.openxmlformats.org/officeDocument/2006/relationships/hyperlink" Target="https://www.sec.gov/Archives/edgar/data/737758/000119312513105223/d501846dex31.htm" TargetMode="External"/><Relationship Id="rId59" Type="http://schemas.openxmlformats.org/officeDocument/2006/relationships/hyperlink" Target="https://www.sec.gov/Archives/edgar/data/737758/000114036123027141/brhc20053547_3-1.htm" TargetMode="External"/><Relationship Id="rId60" Type="http://schemas.openxmlformats.org/officeDocument/2006/relationships/hyperlink" Target="https://www.sec.gov/Archives/edgar/data/737758/000110465907030051/a07-10570_1ex4d3.htm" TargetMode="External"/><Relationship Id="rId61" Type="http://schemas.openxmlformats.org/officeDocument/2006/relationships/hyperlink" Target="https://www.sec.gov/Archives/edgar/data/737758/000110465907031757/a07-10570_5ex4d1.htm" TargetMode="External"/><Relationship Id="rId62" Type="http://schemas.openxmlformats.org/officeDocument/2006/relationships/hyperlink" Target="https://www.sec.gov/Archives/edgar/data/737758/000110465907031757/a07-10570_5ex4d2.htm" TargetMode="External"/><Relationship Id="rId63" Type="http://schemas.openxmlformats.org/officeDocument/2006/relationships/hyperlink" Target="https://www.sec.gov/ix?doc=/Archives/edgar/data/0000737758/000073775825000079/ttc-202508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2025-09-04T11:17:06Z</dcterms:created>
  <dcterms:modified xsi:type="dcterms:W3CDTF">2025-09-04T11:17:06Z</dcterms:modified>
</cp:coreProperties>
</file>