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436245</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394970</wp:posOffset>
            </wp:positionV>
            <wp:extent cx="68046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66" w:lineRule="exact"/>
        <w:rPr>
          <w:sz w:val="24"/>
          <w:szCs w:val="24"/>
          <w:color w:val="auto"/>
        </w:rPr>
      </w:pPr>
    </w:p>
    <w:p>
      <w:pPr>
        <w:ind w:left="2040" w:hanging="300"/>
        <w:spacing w:after="0"/>
        <w:tabs>
          <w:tab w:leader="none" w:pos="20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August 2, 2024</w:t>
      </w:r>
    </w:p>
    <w:p>
      <w:pPr>
        <w:spacing w:after="0" w:line="248" w:lineRule="exact"/>
        <w:rPr>
          <w:sz w:val="24"/>
          <w:szCs w:val="24"/>
          <w:color w:val="auto"/>
        </w:rPr>
      </w:pPr>
    </w:p>
    <w:p>
      <w:pPr>
        <w:ind w:left="2040" w:hanging="335"/>
        <w:spacing w:after="0"/>
        <w:tabs>
          <w:tab w:leader="none" w:pos="20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44" w:lineRule="exact"/>
        <w:rPr>
          <w:sz w:val="24"/>
          <w:szCs w:val="24"/>
          <w:color w:val="auto"/>
        </w:rPr>
      </w:pPr>
    </w:p>
    <w:p>
      <w:pPr>
        <w:jc w:val="right"/>
        <w:ind w:right="4400"/>
        <w:spacing w:after="0"/>
        <w:tabs>
          <w:tab w:leader="none" w:pos="31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2" w:lineRule="exact"/>
        <w:rPr>
          <w:sz w:val="24"/>
          <w:szCs w:val="24"/>
          <w:color w:val="auto"/>
        </w:rPr>
      </w:pPr>
    </w:p>
    <w:p>
      <w:pPr>
        <w:jc w:val="right"/>
        <w:ind w:right="4460"/>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b w:val="1"/>
          <w:bCs w:val="1"/>
          <w:color w:val="auto"/>
        </w:rPr>
        <w:t>1-8649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THE TORO COMPANY</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60"/>
          </w:cols>
          <w:pgMar w:left="320" w:top="226" w:right="319" w:bottom="1440" w:gutter="0" w:footer="0" w:header="0"/>
        </w:sectPr>
      </w:pPr>
    </w:p>
    <w:p>
      <w:pPr>
        <w:spacing w:after="0" w:line="11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41-0580470</w:t>
      </w:r>
    </w:p>
    <w:p>
      <w:pPr>
        <w:spacing w:after="0" w:line="33" w:lineRule="exact"/>
        <w:rPr>
          <w:sz w:val="24"/>
          <w:szCs w:val="24"/>
          <w:color w:val="auto"/>
        </w:rPr>
      </w:pPr>
    </w:p>
    <w:p>
      <w:pPr>
        <w:sectPr>
          <w:pgSz w:w="11900" w:h="16838" w:orient="portrait"/>
          <w:cols w:equalWidth="0" w:num="2">
            <w:col w:w="8080" w:space="720"/>
            <w:col w:w="2460"/>
          </w:cols>
          <w:pgMar w:left="320" w:top="226" w:right="31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10"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371" w:lineRule="exact"/>
        <w:rPr>
          <w:sz w:val="24"/>
          <w:szCs w:val="24"/>
          <w:color w:val="auto"/>
        </w:rPr>
      </w:pPr>
    </w:p>
    <w:p>
      <w:pPr>
        <w:sectPr>
          <w:pgSz w:w="11900" w:h="16838" w:orient="portrait"/>
          <w:cols w:equalWidth="0" w:num="2">
            <w:col w:w="7420" w:space="720"/>
            <w:col w:w="3120"/>
          </w:cols>
          <w:pgMar w:left="320" w:top="226" w:right="319" w:bottom="1440" w:gutter="0" w:footer="0" w:header="0"/>
          <w:type w:val="continuous"/>
        </w:sectPr>
      </w:pPr>
    </w:p>
    <w:p>
      <w:pPr>
        <w:spacing w:after="0" w:line="1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8111 Lyndale Avenue South</w:t>
      </w:r>
    </w:p>
    <w:p>
      <w:pPr>
        <w:spacing w:after="0" w:line="3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Bloomington, Minnesota 55420-1196</w:t>
      </w:r>
    </w:p>
    <w:p>
      <w:pPr>
        <w:spacing w:after="0" w:line="1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Telephone Number: (952) 888-8801</w:t>
      </w:r>
    </w:p>
    <w:p>
      <w:pPr>
        <w:spacing w:after="0" w:line="1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94"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Name of each exchange on which registered</w:t>
            </w:r>
          </w:p>
        </w:tc>
      </w:tr>
      <w:tr>
        <w:trPr>
          <w:trHeight w:val="215"/>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$1.00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TTC</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New York Stock Exchange</w:t>
            </w:r>
          </w:p>
        </w:tc>
      </w:tr>
    </w:tbl>
    <w:p>
      <w:pPr>
        <w:spacing w:after="0" w:line="307"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ind w:right="20"/>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20" w:type="dxa"/>
        <w:tblCellMar>
          <w:top w:w="0" w:type="dxa"/>
          <w:left w:w="0" w:type="dxa"/>
          <w:bottom w:w="0" w:type="dxa"/>
          <w:right w:w="0" w:type="dxa"/>
        </w:tblCellMar>
      </w:tblPr>
      <w:tr>
        <w:trPr>
          <w:trHeight w:val="29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67" w:lineRule="exact"/>
        <w:rPr>
          <w:sz w:val="24"/>
          <w:szCs w:val="24"/>
          <w:color w:val="auto"/>
        </w:rPr>
      </w:pPr>
    </w:p>
    <w:p>
      <w:pPr>
        <w:ind w:right="20"/>
        <w:spacing w:after="0" w:line="21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2360"/>
        <w:spacing w:after="0" w:line="20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The number of shares of the registrant’s common stock outstanding as of August 29, 2024 was 102,614,743.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709930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wp:posOffset>
            </wp:positionV>
            <wp:extent cx="712152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74930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TORO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4"/>
          </w:tcPr>
          <w:p>
            <w:pPr>
              <w:ind w:left="2740"/>
              <w:spacing w:after="0"/>
              <w:rPr>
                <w:sz w:val="20"/>
                <w:szCs w:val="20"/>
                <w:color w:val="auto"/>
              </w:rPr>
            </w:pPr>
            <w:r>
              <w:rPr>
                <w:rFonts w:ascii="Times New Roman" w:cs="Times New Roman" w:eastAsia="Times New Roman" w:hAnsi="Times New Roman"/>
                <w:sz w:val="16"/>
                <w:szCs w:val="16"/>
                <w:b w:val="1"/>
                <w:bCs w:val="1"/>
                <w:color w:val="auto"/>
              </w:rPr>
              <w:t>Page Number</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5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b w:val="1"/>
                <w:bCs w:val="1"/>
                <w:color w:val="0000FF"/>
              </w:rPr>
              <w:t>CAUTIONARY NOTE REGARDING FORWARD-LOOKING STATEMENTS</w:t>
            </w:r>
          </w:p>
        </w:tc>
        <w:tc>
          <w:tcPr>
            <w:tcW w:w="1700" w:type="dxa"/>
            <w:vAlign w:val="bottom"/>
            <w:gridSpan w:val="6"/>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6"/>
              </w:rPr>
              <w:t>PART I.</w:t>
            </w:r>
          </w:p>
        </w:tc>
        <w:tc>
          <w:tcPr>
            <w:tcW w:w="800" w:type="dxa"/>
            <w:vAlign w:val="bottom"/>
            <w:gridSpan w:val="3"/>
          </w:tcPr>
          <w:p>
            <w:pPr>
              <w:spacing w:after="0"/>
              <w:rPr>
                <w:sz w:val="24"/>
                <w:szCs w:val="24"/>
                <w:color w:val="auto"/>
              </w:rPr>
            </w:pPr>
          </w:p>
        </w:tc>
        <w:tc>
          <w:tcPr>
            <w:tcW w:w="2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b w:val="1"/>
                <w:bCs w:val="1"/>
                <w:color w:val="0000FF"/>
              </w:rPr>
              <w:t>FINANCIAL INFORMATION:</w:t>
            </w:r>
          </w:p>
        </w:tc>
        <w:tc>
          <w:tcPr>
            <w:tcW w:w="3640" w:type="dxa"/>
            <w:vAlign w:val="bottom"/>
            <w:gridSpan w:val="12"/>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1.</w:t>
            </w:r>
          </w:p>
        </w:tc>
        <w:tc>
          <w:tcPr>
            <w:tcW w:w="880" w:type="dxa"/>
            <w:vAlign w:val="bottom"/>
            <w:gridSpan w:val="4"/>
          </w:tcPr>
          <w:p>
            <w:pPr>
              <w:spacing w:after="0"/>
              <w:rPr>
                <w:sz w:val="24"/>
                <w:szCs w:val="24"/>
                <w:color w:val="auto"/>
              </w:rPr>
            </w:pPr>
          </w:p>
        </w:tc>
        <w:tc>
          <w:tcPr>
            <w:tcW w:w="13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4500" w:type="dxa"/>
            <w:vAlign w:val="bottom"/>
            <w:gridSpan w:val="19"/>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Condensed Consolidated Statements of Earnings (Unaudited)</w:t>
            </w:r>
          </w:p>
        </w:tc>
        <w:tc>
          <w:tcPr>
            <w:tcW w:w="1540" w:type="dxa"/>
            <w:vAlign w:val="bottom"/>
            <w:gridSpan w:val="5"/>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Condensed Consolidated Statements of Comprehensive Income (Unaudited)</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Condensed Consolidated Balance Sheets (Unaudited)</w:t>
            </w:r>
          </w:p>
        </w:tc>
        <w:tc>
          <w:tcPr>
            <w:tcW w:w="1380" w:type="dxa"/>
            <w:vAlign w:val="bottom"/>
            <w:tcBorders>
              <w:top w:val="single" w:sz="8" w:color="0000FF"/>
            </w:tcBorders>
            <w:gridSpan w:val="7"/>
          </w:tcPr>
          <w:p>
            <w:pPr>
              <w:spacing w:after="0"/>
              <w:rPr>
                <w:sz w:val="24"/>
                <w:szCs w:val="24"/>
                <w:color w:val="auto"/>
              </w:rPr>
            </w:pPr>
          </w:p>
        </w:tc>
        <w:tc>
          <w:tcPr>
            <w:tcW w:w="580" w:type="dxa"/>
            <w:vAlign w:val="bottom"/>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(Unaudited)</w:t>
            </w:r>
          </w:p>
        </w:tc>
        <w:tc>
          <w:tcPr>
            <w:tcW w:w="1360" w:type="dxa"/>
            <w:vAlign w:val="bottom"/>
            <w:gridSpan w:val="4"/>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Condensed Consolidated Statements of Stockholders' Equity (Unaudited)</w:t>
            </w:r>
          </w:p>
        </w:tc>
        <w:tc>
          <w:tcPr>
            <w:tcW w:w="760" w:type="dxa"/>
            <w:vAlign w:val="bottom"/>
            <w:gridSpan w:val="2"/>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Notes to Condensed Consolidated Financial Statements (Unaudited)</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0000FF"/>
                <w:w w:val="99"/>
              </w:rPr>
              <w:t>Item 2.</w:t>
            </w:r>
          </w:p>
        </w:tc>
        <w:tc>
          <w:tcPr>
            <w:tcW w:w="880" w:type="dxa"/>
            <w:vAlign w:val="bottom"/>
            <w:gridSpan w:val="4"/>
            <w:vMerge w:val="restart"/>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gridSpan w:val="7"/>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vMerge w:val="continue"/>
          </w:tcPr>
          <w:p>
            <w:pPr>
              <w:spacing w:after="0"/>
              <w:rPr>
                <w:sz w:val="24"/>
                <w:szCs w:val="24"/>
                <w:color w:val="auto"/>
              </w:rPr>
            </w:pPr>
          </w:p>
        </w:tc>
        <w:tc>
          <w:tcPr>
            <w:tcW w:w="880" w:type="dxa"/>
            <w:vAlign w:val="bottom"/>
            <w:gridSpan w:val="4"/>
            <w:vMerge w:val="continue"/>
          </w:tcPr>
          <w:p>
            <w:pPr>
              <w:spacing w:after="0"/>
              <w:rPr>
                <w:sz w:val="24"/>
                <w:szCs w:val="24"/>
                <w:color w:val="auto"/>
              </w:rPr>
            </w:pPr>
          </w:p>
        </w:tc>
        <w:tc>
          <w:tcPr>
            <w:tcW w:w="58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Company Overview</w:t>
            </w:r>
          </w:p>
        </w:tc>
        <w:tc>
          <w:tcPr>
            <w:tcW w:w="4240" w:type="dxa"/>
            <w:vAlign w:val="bottom"/>
            <w:gridSpan w:val="15"/>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Results of Operations</w:t>
            </w:r>
          </w:p>
        </w:tc>
        <w:tc>
          <w:tcPr>
            <w:tcW w:w="4140" w:type="dxa"/>
            <w:vAlign w:val="bottom"/>
            <w:gridSpan w:val="14"/>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Business Segments</w:t>
            </w:r>
          </w:p>
        </w:tc>
        <w:tc>
          <w:tcPr>
            <w:tcW w:w="4300" w:type="dxa"/>
            <w:vAlign w:val="bottom"/>
            <w:gridSpan w:val="17"/>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9"/>
              </w:rPr>
              <w:t>Financial Position</w:t>
            </w:r>
          </w:p>
        </w:tc>
        <w:tc>
          <w:tcPr>
            <w:tcW w:w="4380" w:type="dxa"/>
            <w:vAlign w:val="bottom"/>
            <w:gridSpan w:val="18"/>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Non-GAAP Financial Measures</w:t>
            </w:r>
          </w:p>
        </w:tc>
        <w:tc>
          <w:tcPr>
            <w:tcW w:w="3460" w:type="dxa"/>
            <w:vAlign w:val="bottom"/>
            <w:gridSpan w:val="11"/>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Critical Accounting Policies and Estimates</w:t>
            </w:r>
          </w:p>
        </w:tc>
        <w:tc>
          <w:tcPr>
            <w:tcW w:w="2760" w:type="dxa"/>
            <w:vAlign w:val="bottom"/>
            <w:gridSpan w:val="10"/>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3.</w:t>
            </w:r>
          </w:p>
        </w:tc>
        <w:tc>
          <w:tcPr>
            <w:tcW w:w="880" w:type="dxa"/>
            <w:vAlign w:val="bottom"/>
            <w:gridSpan w:val="4"/>
          </w:tcPr>
          <w:p>
            <w:pPr>
              <w:spacing w:after="0"/>
              <w:rPr>
                <w:sz w:val="24"/>
                <w:szCs w:val="24"/>
                <w:color w:val="auto"/>
              </w:rPr>
            </w:pPr>
          </w:p>
        </w:tc>
        <w:tc>
          <w:tcPr>
            <w:tcW w:w="39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960" w:type="dxa"/>
            <w:vAlign w:val="bottom"/>
            <w:gridSpan w:val="8"/>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4.</w:t>
            </w:r>
          </w:p>
        </w:tc>
        <w:tc>
          <w:tcPr>
            <w:tcW w:w="880" w:type="dxa"/>
            <w:vAlign w:val="bottom"/>
            <w:gridSpan w:val="4"/>
          </w:tcPr>
          <w:p>
            <w:pPr>
              <w:spacing w:after="0"/>
              <w:rPr>
                <w:sz w:val="24"/>
                <w:szCs w:val="24"/>
                <w:color w:val="auto"/>
              </w:rPr>
            </w:pPr>
          </w:p>
        </w:tc>
        <w:tc>
          <w:tcPr>
            <w:tcW w:w="1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4260" w:type="dxa"/>
            <w:vAlign w:val="bottom"/>
            <w:gridSpan w:val="16"/>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0000FF"/>
                <w:w w:val="96"/>
              </w:rPr>
              <w:t>PART II.</w:t>
            </w:r>
          </w:p>
        </w:tc>
        <w:tc>
          <w:tcPr>
            <w:tcW w:w="740" w:type="dxa"/>
            <w:vAlign w:val="bottom"/>
          </w:tcPr>
          <w:p>
            <w:pPr>
              <w:spacing w:after="0"/>
              <w:rPr>
                <w:sz w:val="24"/>
                <w:szCs w:val="24"/>
                <w:color w:val="auto"/>
              </w:rPr>
            </w:pPr>
          </w:p>
        </w:tc>
        <w:tc>
          <w:tcPr>
            <w:tcW w:w="1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b w:val="1"/>
                <w:bCs w:val="1"/>
                <w:color w:val="0000FF"/>
              </w:rPr>
              <w:t>OTHER INFORMATION:</w:t>
            </w:r>
          </w:p>
        </w:tc>
        <w:tc>
          <w:tcPr>
            <w:tcW w:w="3980" w:type="dxa"/>
            <w:vAlign w:val="bottom"/>
            <w:gridSpan w:val="13"/>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1.</w:t>
            </w:r>
          </w:p>
        </w:tc>
        <w:tc>
          <w:tcPr>
            <w:tcW w:w="880" w:type="dxa"/>
            <w:vAlign w:val="bottom"/>
            <w:gridSpan w:val="4"/>
          </w:tcPr>
          <w:p>
            <w:pPr>
              <w:spacing w:after="0"/>
              <w:rPr>
                <w:sz w:val="24"/>
                <w:szCs w:val="24"/>
                <w:color w:val="auto"/>
              </w:rPr>
            </w:pPr>
          </w:p>
        </w:tc>
        <w:tc>
          <w:tcPr>
            <w:tcW w:w="1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4660" w:type="dxa"/>
            <w:vAlign w:val="bottom"/>
            <w:gridSpan w:val="20"/>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0000FF"/>
              </w:rPr>
              <w:t>Item 1A.</w:t>
            </w:r>
          </w:p>
        </w:tc>
        <w:tc>
          <w:tcPr>
            <w:tcW w:w="588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gridSpan w:val="14"/>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2.</w:t>
            </w:r>
          </w:p>
        </w:tc>
        <w:tc>
          <w:tcPr>
            <w:tcW w:w="10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39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920" w:type="dxa"/>
            <w:vAlign w:val="bottom"/>
            <w:gridSpan w:val="7"/>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5.</w:t>
            </w:r>
          </w:p>
        </w:tc>
        <w:tc>
          <w:tcPr>
            <w:tcW w:w="880" w:type="dxa"/>
            <w:vAlign w:val="bottom"/>
            <w:gridSpan w:val="4"/>
          </w:tcPr>
          <w:p>
            <w:pPr>
              <w:spacing w:after="0"/>
              <w:rPr>
                <w:sz w:val="24"/>
                <w:szCs w:val="24"/>
                <w:color w:val="auto"/>
              </w:rPr>
            </w:pPr>
          </w:p>
        </w:tc>
        <w:tc>
          <w:tcPr>
            <w:tcW w:w="1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4680" w:type="dxa"/>
            <w:vAlign w:val="bottom"/>
            <w:gridSpan w:val="21"/>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b w:val="1"/>
                <w:bCs w:val="1"/>
                <w:color w:val="0000FF"/>
                <w:w w:val="99"/>
              </w:rPr>
              <w:t>Item 6.</w:t>
            </w:r>
          </w:p>
        </w:tc>
        <w:tc>
          <w:tcPr>
            <w:tcW w:w="880" w:type="dxa"/>
            <w:vAlign w:val="bottom"/>
            <w:gridSpan w:val="4"/>
          </w:tcPr>
          <w:p>
            <w:pPr>
              <w:spacing w:after="0"/>
              <w:rPr>
                <w:sz w:val="24"/>
                <w:szCs w:val="24"/>
                <w:color w:val="auto"/>
              </w:rPr>
            </w:pPr>
          </w:p>
        </w:tc>
        <w:tc>
          <w:tcPr>
            <w:tcW w:w="588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Exhibits</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80" w:type="dxa"/>
            <w:vAlign w:val="bottom"/>
            <w:gridSpan w:val="23"/>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5180" w:type="dxa"/>
            <w:vAlign w:val="bottom"/>
            <w:gridSpan w:val="23"/>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Quarterly Report on Form 10-Q contains not only historical information, but also forward-looking statements within the meaning of the Private Securities Litigation Reform Act of 1995.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"outlook," "guidance," "forecast," "goal," "anticipate," "continue," "plan," "estimate," "project," "target," "improve," "believe," "become," "should," "could," "will," "would," "possible," "may," "likely," "intend," "can," "pursue," "potential," "approximately," variations of such words or the negative thereof, and similar expressions or future dates. Our forward-looking statements generally relate to our future performance, including our anticipated operating results, liquidity requirements, and financial condition and current trends and uncertainties; the anticipated impacts of elevated field inventory levels and backlog, current global supply chain disruptions, the inflationary environment, current wars and international sanctions and geopolitical tensions, tight labor markets and other macroeconomic factors; our business strategies, priorities, goals, and commitments; acquisitions and any impairment, restructuring, or other charges in connection therewith or resulting therefrom; business and productivity initiatives and anticipated sales growth, profitability, cost savings and other benefits associated therewith; and the effect of laws, rules, policies, regulations, tax reform, new accounting pronouncements, and outstanding litigation on our business and future performance.</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Forward-looking statements are only projections and involve risks and uncertainties that could cause actual results to differ materially from those projected or implied in the forward-looking statements. The following are some of the factors known to us that could cause our actual results to differ materially from what we have anticipated in our forward-looking statements:</w:t>
      </w:r>
    </w:p>
    <w:p>
      <w:pPr>
        <w:spacing w:after="0" w:line="64" w:lineRule="exact"/>
        <w:rPr>
          <w:sz w:val="20"/>
          <w:szCs w:val="20"/>
          <w:color w:val="auto"/>
        </w:rPr>
      </w:pPr>
    </w:p>
    <w:p>
      <w:pPr>
        <w:jc w:val="both"/>
        <w:ind w:left="620" w:hanging="307"/>
        <w:spacing w:after="0" w:line="25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economic conditions and outlook in the United States and in other countries in which we conduct business, such as but not limited to: economic uncertainty; business slowdowns, suspensions or delays of production and commercial activity; slow or negative economic growth rates or recessionary conditions; reduced or negative consumer confidence; reduced consumer spending levels; changing consumer preferences; inflationary or deflationary pressures; higher short-term, mortgage, and other interest rates; increased or prolonged high or low unemployment rates and tight labor markets; higher costs, longer lead times and reduced availability of commodities, components, parts, and accessories, including as a result of transportation-related costs, inflation, changing prices, foreign currency fluctuations, tariffs, and/or duties; slowdowns or reductions in levels of interest in the game of golf or golf course activity, development, renovation, or improvement; golf course closures; reduced customer, governmental or municipal spending; reduced infrastructure spending; reduced levels of home ownership, construction, or sales; home foreclosures; the impact of U.S. federal debt, state debt, and sovereign debt defaults; reduced credit availability or unfavorable credit terms for us or our distributors, dealers, or end-user customers; and general economic and political conditions and expectations, any or all of which affect demand for our products and could adversely affect our operating results and financial condition;</w:t>
      </w:r>
    </w:p>
    <w:p>
      <w:pPr>
        <w:spacing w:after="0" w:line="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Seasonality of our businesses and its impact on demand for our products and our working capital;</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that weather conditions or climate change have on demand for our products and operations, including our supply chain;</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disruption, and/or shortages in the availability of and the cost of commodities, components, parts, or accessories used in our products;</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our distribution channel customers to maintain appropriate inventory levels, including as a result of global supply chain disruptions or changes in purchasing patterns by customers, and if we underestimate or overestimate demand for our products, and the effect of inventory management decisions of our distribution channel customers;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acquisitions and alliances, strong customer relations, and new joint ventures, investments, or partnerships and our failure to successfully complete divestitures or other restructuring activities, including without limitation our ability to integrate acquired businesses and to address material issues both identified and not uncovered during our due diligence review, loss of substantial customers, and the ability of acquired companies or our alliances, joint ventures, investments or partnerships to achieve satisfactory operating results, including results being accretive to earnings, realization of synergies and expected cash flow generation, which could lead to impairment, restructuring, and other charges;</w:t>
      </w:r>
    </w:p>
    <w:p>
      <w:pPr>
        <w:spacing w:after="0" w:line="3"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leverage new, expanded or emerging markets, such as the broadband and digital infrastructure market, and our ability to continue to enhance existing products and develop and market new products that respond to customer needs and preferences and achieve market acceptance, including in particular increased digital, alternative power, smart connected, and autonomous solutions;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product mix or geographic mix;</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of competition;</w:t>
      </w:r>
    </w:p>
    <w:p>
      <w:pPr>
        <w:spacing w:after="0" w:line="11" w:lineRule="exact"/>
        <w:rPr>
          <w:rFonts w:ascii="Times New Roman" w:cs="Times New Roman" w:eastAsia="Times New Roman" w:hAnsi="Times New Roman"/>
          <w:sz w:val="17"/>
          <w:szCs w:val="17"/>
          <w:color w:val="auto"/>
        </w:rPr>
      </w:pPr>
    </w:p>
    <w:p>
      <w:pPr>
        <w:ind w:left="620" w:hanging="307"/>
        <w:spacing w:after="0" w:line="26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cost-effectively expand and renovate existing facilities, open and manage new or acquired facilities, move production between manufacturing facilities, and/or any disruption at or near any of our facilities or other</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operations or those of our suppliers, distribution channel customers, mass retailers, or home centers where our products are sold;</w:t>
      </w:r>
    </w:p>
    <w:p>
      <w:pPr>
        <w:spacing w:after="0" w:line="28" w:lineRule="exact"/>
        <w:rPr>
          <w:sz w:val="20"/>
          <w:szCs w:val="20"/>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our executive officers or other key employees, attract and retain other qualified employees or successfully implement executive officer, key employee or other leadership or employee transitions and any failure by us, or our suppliers or distribution channel partners, to hire and/or retain a labor force to enhance existing products and develop and market new products, adequately staff manufacturing operations, perform service or warranty work or other necessary activities, or allow employees to adequately and safely perform their jobs;</w:t>
      </w:r>
    </w:p>
    <w:p>
      <w:pPr>
        <w:spacing w:after="0" w:line="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composition of, financial viability of, and the relationships with, our distribution channel customers;</w:t>
      </w:r>
    </w:p>
    <w:p>
      <w:pPr>
        <w:spacing w:after="0" w:line="1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credit arrangements and ratings and any material change in the availability or terms of, or termination or disruption of, credit offered to our customers, distributors, and dealers;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international operations, including but not limited to the effect of foreign currency exchange rate fluctuations and compliance with foreign legal and regulatory requirements, current wars and international sanctions and geopolitical tensions, political risks associated with the potential instability of governments and legal systems in countries in which we or our customers or suppliers conduct business, upcoming elections, and other current and potential conflicts;</w:t>
      </w:r>
    </w:p>
    <w:p>
      <w:pPr>
        <w:spacing w:after="0" w:line="2"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comply with all applicable legal and regulatory requirements and the effect of product quality issues, product liability claims, and other litigation to which we are or may be subject;</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protect our intellectual property and other proprietary rights or operate our business without infringing upon the intellectual property or other proprietary rights of others;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information systems or information security practices or those of our business partners or third-party service providers to adequately perform and/or protect sensitive or confidential information;</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a possible U.S. governmental shutdown and its impact on the U.S. economy, capital markets and our business and risks associated with uncertainties related to the 2024 U.S. presidential election;</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our financial projections or other business initiatives, including our Amplifying Maximum Productivity (“AMP”) initiative, in the time periods that we anticipate or at all;</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or tax standards and policies and/or assumptions utilized in determining accounting tax estimates;</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price volatility, including in response to the risks described herein or for reasons unrelated to our operations, such as reports by industry analysts, investor perceptions or negative announcements by our customers, competitors or suppliers regarding their own performance, as well as industry or general economic conditions, and other factors beyond our control; and</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environmental, health and safety laws and regulations as well as the impact of increased scrutiny on our environmental, social and governance (“ESG”) practices, our ability to meet our ESG company goals, and public perceptions that our products are not environmentally friendly or that our practices are not sustainable.</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our subsequent filings with the SEC.</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our subsequent SEC filings, as well as others that we may consider immaterial or do not anticipate at this time. These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Earnings (Loss)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and shares in millions, except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4, 2023</w:t>
            </w:r>
          </w:p>
        </w:tc>
      </w:tr>
      <w:tr>
        <w:trPr>
          <w:trHeight w:val="21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1,156.9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1,081.8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3,507.8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3,570.0</w:t>
            </w:r>
          </w:p>
        </w:tc>
      </w:tr>
      <w:tr>
        <w:trPr>
          <w:trHeight w:val="217"/>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754.1</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709.4</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2,307.5</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2,322.0</w:t>
            </w: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402.8</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372.4</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1,200.3</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1,248.0</w:t>
            </w: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20" w:type="dxa"/>
            <w:vAlign w:val="bottom"/>
          </w:tcPr>
          <w:p>
            <w:pPr>
              <w:spacing w:after="0"/>
              <w:rPr>
                <w:sz w:val="18"/>
                <w:szCs w:val="18"/>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254.7</w:t>
            </w:r>
          </w:p>
        </w:tc>
        <w:tc>
          <w:tcPr>
            <w:tcW w:w="20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240.2</w:t>
            </w:r>
          </w:p>
        </w:tc>
        <w:tc>
          <w:tcPr>
            <w:tcW w:w="2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776.0</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760.6</w:t>
            </w:r>
          </w:p>
        </w:tc>
      </w:tr>
      <w:tr>
        <w:trPr>
          <w:trHeight w:val="22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impairment charges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151.3</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earnings (loss)</w:t>
            </w:r>
          </w:p>
        </w:tc>
        <w:tc>
          <w:tcPr>
            <w:tcW w:w="220" w:type="dxa"/>
            <w:vAlign w:val="bottom"/>
          </w:tcPr>
          <w:p>
            <w:pPr>
              <w:spacing w:after="0"/>
              <w:rPr>
                <w:sz w:val="18"/>
                <w:szCs w:val="18"/>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148.1</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424.3</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r>
      <w:tr>
        <w:trPr>
          <w:trHeight w:val="217"/>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10.6</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5.5</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26.6</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144.2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403.5</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w:t>
            </w:r>
          </w:p>
        </w:tc>
      </w:tr>
      <w:tr>
        <w:trPr>
          <w:trHeight w:val="217"/>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24.9</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74.5</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w:t>
            </w:r>
          </w:p>
        </w:tc>
      </w:tr>
      <w:tr>
        <w:trPr>
          <w:trHeight w:val="238"/>
        </w:trPr>
        <w:tc>
          <w:tcPr>
            <w:tcW w:w="5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earnings (loss)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329.0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w:t>
            </w: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5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7"/>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earnings (loss) per share of common stock</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86"/>
        </w:trPr>
        <w:tc>
          <w:tcPr>
            <w:tcW w:w="5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17"/>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earnings (loss) per share of common stock</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86"/>
        </w:trPr>
        <w:tc>
          <w:tcPr>
            <w:tcW w:w="5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104.0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104.3</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104.2</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r>
      <w:tr>
        <w:trPr>
          <w:trHeight w:val="103"/>
        </w:trPr>
        <w:tc>
          <w:tcPr>
            <w:tcW w:w="5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7"/>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104.5</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104.3</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104.8</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Comprehensive Income (Loss)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5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0" w:type="dxa"/>
            <w:vAlign w:val="bottom"/>
          </w:tcPr>
          <w:p>
            <w:pPr>
              <w:spacing w:after="0"/>
              <w:rPr>
                <w:sz w:val="1"/>
                <w:szCs w:val="1"/>
                <w:color w:val="auto"/>
              </w:rPr>
            </w:pPr>
          </w:p>
        </w:tc>
      </w:tr>
      <w:tr>
        <w:trPr>
          <w:trHeight w:val="21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329.0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0" w:type="dxa"/>
            <w:vAlign w:val="bottom"/>
          </w:tcPr>
          <w:p>
            <w:pPr>
              <w:spacing w:after="0"/>
              <w:rPr>
                <w:sz w:val="1"/>
                <w:szCs w:val="1"/>
                <w:color w:val="auto"/>
              </w:rPr>
            </w:pPr>
          </w:p>
        </w:tc>
      </w:tr>
      <w:tr>
        <w:trPr>
          <w:trHeight w:val="21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155"/>
        </w:trPr>
        <w:tc>
          <w:tcPr>
            <w:tcW w:w="5000" w:type="dxa"/>
            <w:vAlign w:val="bottom"/>
          </w:tcPr>
          <w:p>
            <w:pPr>
              <w:ind w:left="140"/>
              <w:spacing w:after="0" w:line="155" w:lineRule="exact"/>
              <w:rPr>
                <w:sz w:val="20"/>
                <w:szCs w:val="20"/>
                <w:color w:val="auto"/>
              </w:rPr>
            </w:pPr>
            <w:r>
              <w:rPr>
                <w:rFonts w:ascii="Times New Roman" w:cs="Times New Roman" w:eastAsia="Times New Roman" w:hAnsi="Times New Roman"/>
                <w:sz w:val="16"/>
                <w:szCs w:val="16"/>
                <w:color w:val="auto"/>
              </w:rPr>
              <w:t>Derivative instruments, net of tax of $(0.8); $(0.2); $(2.3); and $(5.8),</w:t>
            </w:r>
          </w:p>
        </w:tc>
        <w:tc>
          <w:tcPr>
            <w:tcW w:w="4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0" w:type="dxa"/>
            <w:vAlign w:val="bottom"/>
          </w:tcPr>
          <w:p>
            <w:pPr>
              <w:spacing w:after="0"/>
              <w:rPr>
                <w:sz w:val="13"/>
                <w:szCs w:val="13"/>
                <w:color w:val="auto"/>
              </w:rPr>
            </w:pPr>
          </w:p>
        </w:tc>
        <w:tc>
          <w:tcPr>
            <w:tcW w:w="132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7"/>
        </w:trPr>
        <w:tc>
          <w:tcPr>
            <w:tcW w:w="5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7"/>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112.2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323.1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0" w:type="dxa"/>
            <w:vAlign w:val="bottom"/>
          </w:tcPr>
          <w:p>
            <w:pPr>
              <w:spacing w:after="0"/>
              <w:rPr>
                <w:sz w:val="1"/>
                <w:szCs w:val="1"/>
                <w:color w:val="auto"/>
              </w:rPr>
            </w:pPr>
          </w:p>
        </w:tc>
      </w:tr>
      <w:tr>
        <w:trPr>
          <w:trHeight w:val="22"/>
        </w:trPr>
        <w:tc>
          <w:tcPr>
            <w:tcW w:w="5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760" w:type="dxa"/>
            <w:vAlign w:val="bottom"/>
            <w:tcBorders>
              <w:top w:val="single" w:sz="8" w:color="auto"/>
              <w:bottom w:val="single" w:sz="8" w:color="auto"/>
            </w:tcBorders>
          </w:tcPr>
          <w:p>
            <w:pPr>
              <w:spacing w:after="0"/>
              <w:rPr>
                <w:sz w:val="20"/>
                <w:szCs w:val="20"/>
                <w:color w:val="auto"/>
              </w:rPr>
            </w:pPr>
          </w:p>
        </w:tc>
        <w:tc>
          <w:tcPr>
            <w:tcW w:w="27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6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ASSETS</w:t>
            </w:r>
          </w:p>
        </w:tc>
        <w:tc>
          <w:tcPr>
            <w:tcW w:w="546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221.1</w:t>
            </w:r>
          </w:p>
        </w:tc>
        <w:tc>
          <w:tcPr>
            <w:tcW w:w="2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147.9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532.3</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390.7</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26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1,082.0</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1,112.7</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1,087.8</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78.5</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80.5</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1,913.9</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1,731.8</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1,798.8</w:t>
            </w:r>
          </w:p>
        </w:tc>
        <w:tc>
          <w:tcPr>
            <w:tcW w:w="0" w:type="dxa"/>
            <w:vAlign w:val="bottom"/>
          </w:tcPr>
          <w:p>
            <w:pPr>
              <w:spacing w:after="0"/>
              <w:rPr>
                <w:sz w:val="1"/>
                <w:szCs w:val="1"/>
                <w:color w:val="auto"/>
              </w:rPr>
            </w:pPr>
          </w:p>
        </w:tc>
      </w:tr>
      <w:tr>
        <w:trPr>
          <w:trHeight w:val="86"/>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27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635.7</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625.0</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450.2</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451.3</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512.4</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549.2</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113.2</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116.6</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 in finance affiliate</w:t>
            </w:r>
          </w:p>
        </w:tc>
        <w:tc>
          <w:tcPr>
            <w:tcW w:w="26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46.4</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48.5</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38.3</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41.7</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21.3</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21.8</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3,731.4</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3,585.9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606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tcPr>
          <w:p>
            <w:pPr>
              <w:spacing w:after="0"/>
              <w:rPr>
                <w:sz w:val="18"/>
                <w:szCs w:val="18"/>
                <w:color w:val="auto"/>
              </w:rPr>
            </w:pPr>
          </w:p>
        </w:tc>
        <w:tc>
          <w:tcPr>
            <w:tcW w:w="3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7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rPr>
              <w:t>25.3</w:t>
            </w:r>
          </w:p>
        </w:tc>
        <w:tc>
          <w:tcPr>
            <w:tcW w:w="260" w:type="dxa"/>
            <w:vAlign w:val="bottom"/>
            <w:tcBorders>
              <w:top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CCEEFF"/>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437.8</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407.4</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501.6</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482.3</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499.1</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19.7</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17.8</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984.4</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907.5</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0" w:type="dxa"/>
            <w:vAlign w:val="bottom"/>
          </w:tcPr>
          <w:p>
            <w:pPr>
              <w:spacing w:after="0"/>
              <w:rPr>
                <w:sz w:val="1"/>
                <w:szCs w:val="1"/>
                <w:color w:val="auto"/>
              </w:rPr>
            </w:pPr>
          </w:p>
        </w:tc>
      </w:tr>
      <w:tr>
        <w:trPr>
          <w:trHeight w:val="86"/>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27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6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966.6</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1,061.3</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99.1</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101.2</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44.5</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38.7</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6"/>
                <w:szCs w:val="16"/>
                <w:color w:val="auto"/>
              </w:rPr>
              <w:t>Preferred stock, par value $1.00 per share, authorized 1,000,000 voting and 850,000 non-</w:t>
            </w:r>
          </w:p>
        </w:tc>
        <w:tc>
          <w:tcPr>
            <w:tcW w:w="260" w:type="dxa"/>
            <w:vAlign w:val="bottom"/>
          </w:tcPr>
          <w:p>
            <w:pPr>
              <w:spacing w:after="0"/>
              <w:rPr>
                <w:sz w:val="13"/>
                <w:szCs w:val="13"/>
                <w:color w:val="auto"/>
              </w:rPr>
            </w:pPr>
          </w:p>
        </w:tc>
        <w:tc>
          <w:tcPr>
            <w:tcW w:w="148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148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voting shares, none issued and outstanding</w:t>
            </w:r>
          </w:p>
        </w:tc>
        <w:tc>
          <w:tcPr>
            <w:tcW w:w="2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6060" w:type="dxa"/>
            <w:vAlign w:val="bottom"/>
            <w:gridSpan w:val="3"/>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rPr>
              <w:t>Common stock, par value $1.00 per share, authorized 175,000,000 shares; issued and</w:t>
            </w: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60" w:type="dxa"/>
            <w:vAlign w:val="bottom"/>
            <w:gridSpan w:val="3"/>
            <w:shd w:val="clear" w:color="auto" w:fill="CCEEFF"/>
          </w:tcPr>
          <w:p>
            <w:pPr>
              <w:ind w:left="120"/>
              <w:spacing w:after="0" w:line="159" w:lineRule="exact"/>
              <w:rPr>
                <w:sz w:val="20"/>
                <w:szCs w:val="20"/>
                <w:color w:val="auto"/>
              </w:rPr>
            </w:pPr>
            <w:r>
              <w:rPr>
                <w:rFonts w:ascii="Times New Roman" w:cs="Times New Roman" w:eastAsia="Times New Roman" w:hAnsi="Times New Roman"/>
                <w:sz w:val="16"/>
                <w:szCs w:val="16"/>
                <w:color w:val="auto"/>
              </w:rPr>
              <w:t>outstanding 103,062,017 shares as of August 2, 2024, 103,834,891 shares as of August 4,</w:t>
            </w:r>
          </w:p>
        </w:tc>
        <w:tc>
          <w:tcPr>
            <w:tcW w:w="26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103.1</w:t>
            </w:r>
          </w:p>
        </w:tc>
        <w:tc>
          <w:tcPr>
            <w:tcW w:w="26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103.8</w:t>
            </w:r>
          </w:p>
        </w:tc>
        <w:tc>
          <w:tcPr>
            <w:tcW w:w="2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2023, and 103,843,485 shares as of October 31, 2023</w:t>
            </w:r>
          </w:p>
        </w:tc>
        <w:tc>
          <w:tcPr>
            <w:tcW w:w="26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1,576.2</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1,403.9</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1,444.1</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6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1,636.4</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1,477.1</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3,731.4</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3,585.9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Cash Flows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w:t>
      </w:r>
    </w:p>
    <w:p>
      <w:pPr>
        <w:spacing w:after="0" w:line="115"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August 4, 2023</w:t>
            </w:r>
          </w:p>
        </w:tc>
      </w:tr>
      <w:tr>
        <w:trPr>
          <w:trHeight w:val="21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329.0</w:t>
            </w:r>
          </w:p>
        </w:tc>
        <w:tc>
          <w:tcPr>
            <w:tcW w:w="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259.4</w:t>
            </w:r>
          </w:p>
        </w:tc>
      </w:tr>
      <w:tr>
        <w:trPr>
          <w:trHeight w:val="22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income from finance affiliate</w:t>
            </w:r>
          </w:p>
        </w:tc>
        <w:tc>
          <w:tcPr>
            <w:tcW w:w="1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from finance affiliate, net</w:t>
            </w: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20.0</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144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65.5</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26.3</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4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19.5</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impairment charges</w:t>
            </w: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4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the effect of acquisitions:</w:t>
            </w: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1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44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5.1</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w:t>
            </w:r>
          </w:p>
        </w:tc>
      </w:tr>
      <w:tr>
        <w:trPr>
          <w:trHeight w:val="217"/>
        </w:trPr>
        <w:tc>
          <w:tcPr>
            <w:tcW w:w="6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6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329.8</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r>
      <w:tr>
        <w:trPr>
          <w:trHeight w:val="86"/>
        </w:trPr>
        <w:tc>
          <w:tcPr>
            <w:tcW w:w="66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2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insurance claim</w:t>
            </w: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144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acquisition</w:t>
            </w: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asset disposals</w:t>
            </w:r>
          </w:p>
        </w:tc>
        <w:tc>
          <w:tcPr>
            <w:tcW w:w="144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20"/>
        </w:trPr>
        <w:tc>
          <w:tcPr>
            <w:tcW w:w="6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divestitures</w:t>
            </w:r>
          </w:p>
        </w:tc>
        <w:tc>
          <w:tcPr>
            <w:tcW w:w="1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16.5</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w:t>
            </w:r>
          </w:p>
        </w:tc>
      </w:tr>
      <w:tr>
        <w:trPr>
          <w:trHeight w:val="86"/>
        </w:trPr>
        <w:tc>
          <w:tcPr>
            <w:tcW w:w="664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r>
      <w:tr>
        <w:trPr>
          <w:trHeight w:val="21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3"/>
        </w:trPr>
        <w:tc>
          <w:tcPr>
            <w:tcW w:w="664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Net (repayments) borrowings under the revolving credit facility</w:t>
            </w:r>
            <w:r>
              <w:rPr>
                <w:rFonts w:ascii="Times New Roman" w:cs="Times New Roman" w:eastAsia="Times New Roman" w:hAnsi="Times New Roman"/>
                <w:sz w:val="21"/>
                <w:szCs w:val="21"/>
                <w:color w:val="auto"/>
                <w:vertAlign w:val="superscript"/>
              </w:rPr>
              <w:t>1</w:t>
            </w: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44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8.6</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withholding taxes for stock awards</w:t>
            </w: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TTC common stock</w:t>
            </w:r>
          </w:p>
        </w:tc>
        <w:tc>
          <w:tcPr>
            <w:tcW w:w="1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on TTC common stock</w:t>
            </w: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r>
      <w:tr>
        <w:trPr>
          <w:trHeight w:val="217"/>
        </w:trPr>
        <w:tc>
          <w:tcPr>
            <w:tcW w:w="6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6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r>
      <w:tr>
        <w:trPr>
          <w:trHeight w:val="86"/>
        </w:trPr>
        <w:tc>
          <w:tcPr>
            <w:tcW w:w="66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17"/>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1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86"/>
        </w:trPr>
        <w:tc>
          <w:tcPr>
            <w:tcW w:w="66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17"/>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28.0</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r>
      <w:tr>
        <w:trPr>
          <w:trHeight w:val="213"/>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beginning of the fiscal period</w:t>
            </w:r>
          </w:p>
        </w:tc>
        <w:tc>
          <w:tcPr>
            <w:tcW w:w="1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193.1</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188.2</w:t>
            </w:r>
          </w:p>
        </w:tc>
      </w:tr>
      <w:tr>
        <w:trPr>
          <w:trHeight w:val="238"/>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end of the fiscal period</w:t>
            </w:r>
          </w:p>
        </w:tc>
        <w:tc>
          <w:tcPr>
            <w:tcW w:w="14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221.1</w:t>
            </w:r>
          </w:p>
        </w:tc>
        <w:tc>
          <w:tcPr>
            <w:tcW w:w="2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r>
      <w:tr>
        <w:trPr>
          <w:trHeight w:val="20"/>
        </w:trPr>
        <w:tc>
          <w:tcPr>
            <w:tcW w:w="66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240" w:hanging="159"/>
        <w:spacing w:after="0" w:line="227" w:lineRule="auto"/>
        <w:tabs>
          <w:tab w:leader="none" w:pos="266"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Presentation of prior year revolving credit facility and long-term debt activity has been conformed to the current year presentation. There was no change to net cash used in financing activities.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58"/>
              <w:spacing w:after="0" w:line="168" w:lineRule="exact"/>
              <w:rPr>
                <w:sz w:val="20"/>
                <w:szCs w:val="20"/>
                <w:color w:val="auto"/>
              </w:rPr>
            </w:pPr>
            <w:r>
              <w:rPr>
                <w:rFonts w:ascii="Times New Roman" w:cs="Times New Roman" w:eastAsia="Times New Roman" w:hAnsi="Times New Roman"/>
                <w:sz w:val="16"/>
                <w:szCs w:val="16"/>
                <w:b w:val="1"/>
                <w:bCs w:val="1"/>
                <w:color w:val="auto"/>
              </w:rPr>
              <w:t>Common</w:t>
            </w: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338"/>
              <w:spacing w:after="0" w:line="16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20" w:type="dxa"/>
            <w:vAlign w:val="bottom"/>
            <w:tcBorders>
              <w:top w:val="single" w:sz="8" w:color="auto"/>
            </w:tcBorders>
            <w:gridSpan w:val="2"/>
          </w:tcPr>
          <w:p>
            <w:pPr>
              <w:jc w:val="right"/>
              <w:ind w:right="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8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219"/>
        </w:trPr>
        <w:tc>
          <w:tcPr>
            <w:tcW w:w="5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May 3, 2024</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104.0</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1,583.2</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1,651.4</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$0.36 per share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158"/>
        </w:trPr>
        <w:tc>
          <w:tcPr>
            <w:tcW w:w="51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169,273 shares of common stock under stock-based</w:t>
            </w:r>
          </w:p>
        </w:tc>
        <w:tc>
          <w:tcPr>
            <w:tcW w:w="3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0.2</w:t>
            </w: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6.5</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plans</w:t>
            </w:r>
          </w:p>
        </w:tc>
        <w:tc>
          <w:tcPr>
            <w:tcW w:w="3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4.2</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1,081,307 shares of common stock</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119.3</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August 2, 2024</w:t>
            </w:r>
          </w:p>
        </w:tc>
        <w:tc>
          <w:tcPr>
            <w:tcW w:w="3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103.1</w:t>
            </w:r>
          </w:p>
        </w:tc>
        <w:tc>
          <w:tcPr>
            <w:tcW w:w="2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1,576.2</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1,636.4</w:t>
            </w:r>
          </w:p>
        </w:tc>
        <w:tc>
          <w:tcPr>
            <w:tcW w:w="0" w:type="dxa"/>
            <w:vAlign w:val="bottom"/>
          </w:tcPr>
          <w:p>
            <w:pPr>
              <w:spacing w:after="0"/>
              <w:rPr>
                <w:sz w:val="1"/>
                <w:szCs w:val="1"/>
                <w:color w:val="auto"/>
              </w:rPr>
            </w:pPr>
          </w:p>
        </w:tc>
      </w:tr>
      <w:tr>
        <w:trPr>
          <w:trHeight w:val="22"/>
        </w:trPr>
        <w:tc>
          <w:tcPr>
            <w:tcW w:w="5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
        </w:trPr>
        <w:tc>
          <w:tcPr>
            <w:tcW w:w="5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103.8</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1,444.1</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$1.08 per share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0" w:type="dxa"/>
            <w:vAlign w:val="bottom"/>
          </w:tcPr>
          <w:p>
            <w:pPr>
              <w:spacing w:after="0"/>
              <w:rPr>
                <w:sz w:val="1"/>
                <w:szCs w:val="1"/>
                <w:color w:val="auto"/>
              </w:rPr>
            </w:pPr>
          </w:p>
        </w:tc>
      </w:tr>
      <w:tr>
        <w:trPr>
          <w:trHeight w:val="158"/>
        </w:trPr>
        <w:tc>
          <w:tcPr>
            <w:tcW w:w="51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493,194 shares of common stock under stock-based</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1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compensation plans, less contribution of 54,526 shares of common stock to a</w:t>
            </w:r>
          </w:p>
        </w:tc>
        <w:tc>
          <w:tcPr>
            <w:tcW w:w="3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0.5</w:t>
            </w: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8.1</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trust</w:t>
            </w:r>
          </w:p>
        </w:tc>
        <w:tc>
          <w:tcPr>
            <w:tcW w:w="3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19.5</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1,220,136 shares of common stock</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329.0</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August 2, 2024</w:t>
            </w:r>
          </w:p>
        </w:tc>
        <w:tc>
          <w:tcPr>
            <w:tcW w:w="3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103.1</w:t>
            </w:r>
          </w:p>
        </w:tc>
        <w:tc>
          <w:tcPr>
            <w:tcW w:w="2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1,576.2</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1,636.4</w:t>
            </w:r>
          </w:p>
        </w:tc>
        <w:tc>
          <w:tcPr>
            <w:tcW w:w="0" w:type="dxa"/>
            <w:vAlign w:val="bottom"/>
          </w:tcPr>
          <w:p>
            <w:pPr>
              <w:spacing w:after="0"/>
              <w:rPr>
                <w:sz w:val="1"/>
                <w:szCs w:val="1"/>
                <w:color w:val="auto"/>
              </w:rPr>
            </w:pPr>
          </w:p>
        </w:tc>
      </w:tr>
      <w:tr>
        <w:trPr>
          <w:trHeight w:val="22"/>
        </w:trPr>
        <w:tc>
          <w:tcPr>
            <w:tcW w:w="5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
        </w:trPr>
        <w:tc>
          <w:tcPr>
            <w:tcW w:w="5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May 5, 2023</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104.1</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1,485.1</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1,560.0</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$0.34 per share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158"/>
        </w:trPr>
        <w:tc>
          <w:tcPr>
            <w:tcW w:w="51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56,006 shares of common stock under stock-based compensation</w:t>
            </w:r>
          </w:p>
        </w:tc>
        <w:tc>
          <w:tcPr>
            <w:tcW w:w="3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3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3.6</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356,757 shares of common stock</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August 4, 2023</w:t>
            </w:r>
          </w:p>
        </w:tc>
        <w:tc>
          <w:tcPr>
            <w:tcW w:w="3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103.8</w:t>
            </w:r>
          </w:p>
        </w:tc>
        <w:tc>
          <w:tcPr>
            <w:tcW w:w="2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1,403.9</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1,477.1</w:t>
            </w:r>
          </w:p>
        </w:tc>
        <w:tc>
          <w:tcPr>
            <w:tcW w:w="0" w:type="dxa"/>
            <w:vAlign w:val="bottom"/>
          </w:tcPr>
          <w:p>
            <w:pPr>
              <w:spacing w:after="0"/>
              <w:rPr>
                <w:sz w:val="1"/>
                <w:szCs w:val="1"/>
                <w:color w:val="auto"/>
              </w:rPr>
            </w:pPr>
          </w:p>
        </w:tc>
      </w:tr>
      <w:tr>
        <w:trPr>
          <w:trHeight w:val="22"/>
        </w:trPr>
        <w:tc>
          <w:tcPr>
            <w:tcW w:w="5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
        </w:trPr>
        <w:tc>
          <w:tcPr>
            <w:tcW w:w="5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2022</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104.0</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1,280.8</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$1.02 per share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0" w:type="dxa"/>
            <w:vAlign w:val="bottom"/>
          </w:tcPr>
          <w:p>
            <w:pPr>
              <w:spacing w:after="0"/>
              <w:rPr>
                <w:sz w:val="1"/>
                <w:szCs w:val="1"/>
                <w:color w:val="auto"/>
              </w:rPr>
            </w:pPr>
          </w:p>
        </w:tc>
      </w:tr>
      <w:tr>
        <w:trPr>
          <w:trHeight w:val="158"/>
        </w:trPr>
        <w:tc>
          <w:tcPr>
            <w:tcW w:w="51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490,469 shares of common stock under stock-based</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1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compensation plans, less contribution of 14,270 shares of common stock to a</w:t>
            </w:r>
          </w:p>
        </w:tc>
        <w:tc>
          <w:tcPr>
            <w:tcW w:w="3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0.4</w:t>
            </w: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19.0</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trust</w:t>
            </w:r>
          </w:p>
        </w:tc>
        <w:tc>
          <w:tcPr>
            <w:tcW w:w="3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14.4</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611,113 shares of common stock</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2.5</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259.4</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August 4, 2023</w:t>
            </w:r>
          </w:p>
        </w:tc>
        <w:tc>
          <w:tcPr>
            <w:tcW w:w="3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103.8</w:t>
            </w:r>
          </w:p>
        </w:tc>
        <w:tc>
          <w:tcPr>
            <w:tcW w:w="2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1,403.9</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1,477.1</w:t>
            </w:r>
          </w:p>
        </w:tc>
        <w:tc>
          <w:tcPr>
            <w:tcW w:w="0" w:type="dxa"/>
            <w:vAlign w:val="bottom"/>
          </w:tcPr>
          <w:p>
            <w:pPr>
              <w:spacing w:after="0"/>
              <w:rPr>
                <w:sz w:val="1"/>
                <w:szCs w:val="1"/>
                <w:color w:val="auto"/>
              </w:rPr>
            </w:pPr>
          </w:p>
        </w:tc>
      </w:tr>
      <w:tr>
        <w:trPr>
          <w:trHeight w:val="22"/>
        </w:trPr>
        <w:tc>
          <w:tcPr>
            <w:tcW w:w="5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 2024</w:t>
      </w:r>
    </w:p>
    <w:p>
      <w:pPr>
        <w:spacing w:after="0" w:line="332" w:lineRule="exact"/>
        <w:rPr>
          <w:sz w:val="20"/>
          <w:szCs w:val="20"/>
          <w:color w:val="auto"/>
        </w:rPr>
      </w:pPr>
    </w:p>
    <w:p>
      <w:pPr>
        <w:ind w:left="600" w:hanging="579"/>
        <w:spacing w:after="0"/>
        <w:tabs>
          <w:tab w:leader="none" w:pos="600" w:val="left"/>
        </w:tabs>
        <w:numPr>
          <w:ilvl w:val="0"/>
          <w:numId w:val="6"/>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Basis of Presentation</w:t>
      </w:r>
    </w:p>
    <w:p>
      <w:pPr>
        <w:spacing w:after="0" w:line="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Due to seasonality within the industries in which the company's businesses operate, among other factors, operating results for the nine months ended August 2, 2024 cannot be annualized to determine the expected results for the fiscal year ending October 31, 2024.</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fiscal year ends on October 31 and quarterly results are reported based on three-month periods that generally end on the Friday closest to the calendar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further information regarding the company's basis of presentation, refer to the Consolidated Financial Statements and Notes to Consolidated Financial Statements included in the company’s Annual Report on Form 10-K for the fiscal year ended October 31, 2023. The policies described in that report are used for preparing the company's quarterly reports on Form 10-Q.</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allowances for current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an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Pronouncements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ASU No. 2023-09, Income Taxes (Topic 740): Improvements to income tax disclosures, which is designed to enhance the transparency and decision usefulness of income tax disclosures primarily related to the rate reconciliation and income taxes paid information. The amended guidance will become effective for the company's fiscal 2026 annual period. The company is currently evaluating the impact of this new standard on its Condensed Consolidated Financial Statements and related disclosures.</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November 2023, the FASB issued ASU No. 2023-07, Segment Reporting (Topic 280): Improvements to Reportable Segment Disclosures, which is intended to enhance reportable segment disclosure requirements, primarily through additional, more detailed disclosures about significant segment expenses. The ASU requires disclosures to include significant segment expenses that are regularly provided to the chief operating decision maker ("CODM"), an amount for other segment items by reportable segment and a description of its composition, and the title and position of the CODM and an explanation of how the CODM uses the reported measure of segment profit or loss in assessing segment performance and deciding how to allocate resources. The ASU also requires all annual disclosures currently required by Topic 280 to be included in interim periods. The amended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guidance will become effective for the company's fiscal 2025 annual period, and interim periods beginning with the first quarter of fiscal 2026. The company is currently evaluating the impact of this new standard on its Condensed Consolidated Financial Statements and related disclosures.</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In September 2022, the FASB issued ASU No. 2022-04, Supplier Finance Programs (Subtopic 405-50): Disclosure of Supplier Finance Program Obligations. The new standard requires disclosure of the key terms of supplier finance programs, the associated obligations outstanding, and a description of where those obligations are presented in the balance sheet. Additionally, effective for the company's fiscal 2025 annual period, the new standard requires a rollforward of the associated obligations outstanding during the annual period, including the amount of obligations confirmed and the amount of obligations subsequently paid. The amended guidance was adopted in the first quarter of fiscal 2024 and did not have a material impact on the company's Condensed Consolidated Financial Statements. For additional information regarding the company's supplier finance program, refer to Note 14,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w:t>
      </w:r>
    </w:p>
    <w:p>
      <w:pPr>
        <w:spacing w:after="0" w:line="7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believes that all other recently issued accounting pronouncements from the FASB that the company has not noted above will not have a material impact on its Condensed Consolidated Financial Statements or do not apply to its operations.</w:t>
      </w:r>
    </w:p>
    <w:p>
      <w:pPr>
        <w:spacing w:after="0" w:line="75" w:lineRule="exact"/>
        <w:rPr>
          <w:sz w:val="20"/>
          <w:szCs w:val="20"/>
          <w:color w:val="auto"/>
        </w:rPr>
      </w:pPr>
    </w:p>
    <w:p>
      <w:pPr>
        <w:ind w:left="600" w:hanging="579"/>
        <w:spacing w:after="0"/>
        <w:tabs>
          <w:tab w:leader="none" w:pos="600" w:val="left"/>
        </w:tabs>
        <w:numPr>
          <w:ilvl w:val="0"/>
          <w:numId w:val="7"/>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Acquisitions and Divestitures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Divestiture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Pope Products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July 1, 2024, during the third quarter of fiscal 2024, the company completed the sale of its Pope Products garden watering and irrigation business based in Australia. The financial results related to the Pope Products business have historically been included in the company's Residential segment. The divestiture was immaterial in relation to the company's Consolidated Financial Condition and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Dealer Acquisition</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May 9, 2023, during the third quarter of fiscal 2023, the company completed the acquisition of substantially all of the assets of, and assumed certain liabilities for, a U.S. based dealer of underground construction equipment. The purchase price of this acquisition was allocated to the identifiable assets acquired and liabilities assumed based on estimates of their fair value and no goodwill or indefinite-lived intangible assets were recorded. The company finalized the purchase accounting for this acquisition during the third quarter of fiscal 2023. Additional purchase accounting disclosures have been omitted due to immateriality of this acquisition in relation to the company's Consolidated Financial Condition and Results of Operations.</w:t>
      </w:r>
    </w:p>
    <w:p>
      <w:pPr>
        <w:spacing w:after="0" w:line="97" w:lineRule="exact"/>
        <w:rPr>
          <w:sz w:val="20"/>
          <w:szCs w:val="20"/>
          <w:color w:val="auto"/>
        </w:rPr>
      </w:pPr>
    </w:p>
    <w:p>
      <w:pPr>
        <w:ind w:left="600" w:hanging="579"/>
        <w:spacing w:after="0"/>
        <w:tabs>
          <w:tab w:leader="none" w:pos="600" w:val="left"/>
        </w:tabs>
        <w:numPr>
          <w:ilvl w:val="0"/>
          <w:numId w:val="8"/>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Segment Data</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company's businesses are organized, managed, and internally grouped into segments based on similarities in products and services. Segment determination is based on the manner in which the company's chief operating decision maker ("CODM") organizes segments for making operating and investment decisions and assessing performance. In the third quarter of fiscal 2024, the company modified the level at which information was being reviewed, including modification to the reporting packages and materials regularly reviewed by the CODM to evaluate the company’s operating results to assess performance and allocate resources. As a result, the company has identified nine operating segments which are aggregated into two reportable segments: Professional and Residential. There was no impact to results at the reportable segment level as the changes comprised of combining certain operating segments within the Professional reportable segment.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 The company's Other activities consist of the company's wholly-owned domestic distribution company, the company's corporate activities, and the elimination of intersegment revenues and expenses.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summarized financial information concerning the company’s reportable business segments and Other activities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August 2, 2024</w:t>
            </w:r>
          </w:p>
        </w:tc>
        <w:tc>
          <w:tcPr>
            <w:tcW w:w="15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880.9</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04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8.5</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1,156.9</w:t>
            </w:r>
          </w:p>
        </w:tc>
      </w:tr>
      <w:tr>
        <w:trPr>
          <w:trHeight w:val="217"/>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4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r>
      <w:tr>
        <w:trPr>
          <w:trHeight w:val="86"/>
        </w:trPr>
        <w:tc>
          <w:tcPr>
            <w:tcW w:w="39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August 2, 2024</w:t>
            </w:r>
          </w:p>
        </w:tc>
        <w:tc>
          <w:tcPr>
            <w:tcW w:w="1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2,643.0</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100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21.6</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3,507.8</w:t>
            </w:r>
          </w:p>
        </w:tc>
      </w:tr>
      <w:tr>
        <w:trPr>
          <w:trHeight w:val="217"/>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(157.9)</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w:t>
            </w:r>
          </w:p>
        </w:tc>
      </w:tr>
      <w:tr>
        <w:trPr>
          <w:trHeight w:val="217"/>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2,714.6</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576.9</w:t>
            </w:r>
          </w:p>
        </w:tc>
        <w:tc>
          <w:tcPr>
            <w:tcW w:w="100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439.9</w:t>
            </w:r>
          </w:p>
        </w:tc>
        <w:tc>
          <w:tcPr>
            <w:tcW w:w="3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3,731.4</w:t>
            </w: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August 4, 2023</w:t>
            </w:r>
          </w:p>
        </w:tc>
        <w:tc>
          <w:tcPr>
            <w:tcW w:w="15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896.3</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104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1,081.8</w:t>
            </w:r>
          </w:p>
        </w:tc>
      </w:tr>
      <w:tr>
        <w:trPr>
          <w:trHeight w:val="217"/>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(11.7)</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92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Earnings (loss) before income taxes</w:t>
            </w:r>
            <w:r>
              <w:rPr>
                <w:rFonts w:ascii="Times New Roman" w:cs="Times New Roman" w:eastAsia="Times New Roman" w:hAnsi="Times New Roman"/>
                <w:sz w:val="21"/>
                <w:szCs w:val="21"/>
                <w:color w:val="auto"/>
                <w:vertAlign w:val="superscript"/>
              </w:rPr>
              <w:t>1</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4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(45.4)</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83"/>
        </w:trPr>
        <w:tc>
          <w:tcPr>
            <w:tcW w:w="39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August 4, 2023</w:t>
            </w:r>
          </w:p>
        </w:tc>
        <w:tc>
          <w:tcPr>
            <w:tcW w:w="1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2,845.7</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705.8</w:t>
            </w:r>
          </w:p>
        </w:tc>
        <w:tc>
          <w:tcPr>
            <w:tcW w:w="100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18.5</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3,570.0</w:t>
            </w:r>
          </w:p>
        </w:tc>
      </w:tr>
      <w:tr>
        <w:trPr>
          <w:trHeight w:val="217"/>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9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Earnings (loss) before income taxes</w:t>
            </w:r>
            <w:r>
              <w:rPr>
                <w:rFonts w:ascii="Times New Roman" w:cs="Times New Roman" w:eastAsia="Times New Roman" w:hAnsi="Times New Roman"/>
                <w:sz w:val="21"/>
                <w:szCs w:val="21"/>
                <w:color w:val="auto"/>
                <w:vertAlign w:val="superscript"/>
              </w:rPr>
              <w:t>1</w:t>
            </w:r>
          </w:p>
        </w:tc>
        <w:tc>
          <w:tcPr>
            <w:tcW w:w="1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384.6</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(135.4)</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w:t>
            </w:r>
          </w:p>
        </w:tc>
      </w:tr>
      <w:tr>
        <w:trPr>
          <w:trHeight w:val="217"/>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2,723.1</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537.9</w:t>
            </w:r>
          </w:p>
        </w:tc>
        <w:tc>
          <w:tcPr>
            <w:tcW w:w="100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324.9</w:t>
            </w:r>
          </w:p>
        </w:tc>
        <w:tc>
          <w:tcPr>
            <w:tcW w:w="3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3,585.9</w:t>
            </w:r>
          </w:p>
        </w:tc>
      </w:tr>
    </w:tbl>
    <w:p>
      <w:pPr>
        <w:spacing w:after="0" w:line="164" w:lineRule="exact"/>
        <w:rPr>
          <w:sz w:val="20"/>
          <w:szCs w:val="20"/>
          <w:color w:val="auto"/>
        </w:rPr>
      </w:pPr>
    </w:p>
    <w:p>
      <w:pPr>
        <w:jc w:val="both"/>
        <w:ind w:firstLine="3"/>
        <w:spacing w:after="0" w:line="221" w:lineRule="auto"/>
        <w:tabs>
          <w:tab w:leader="none" w:pos="96"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 xml:space="preserve">The Professional reportable segment earnings (loss) before income taxes includes $151.3 million of non-cash impairment charges recorded during the preparation of the financial statements for the third quarter of fiscal 2023 related to the Intimidator operating segment. For additional information regarding the impairment charges, refer to Note 5, </w:t>
      </w:r>
      <w:r>
        <w:rPr>
          <w:rFonts w:ascii="Times New Roman" w:cs="Times New Roman" w:eastAsia="Times New Roman" w:hAnsi="Times New Roman"/>
          <w:sz w:val="15"/>
          <w:szCs w:val="15"/>
          <w:i w:val="1"/>
          <w:iCs w:val="1"/>
          <w:color w:val="auto"/>
        </w:rPr>
        <w:t>Goodwill and Other Intangible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Assets, Net</w:t>
      </w:r>
      <w:r>
        <w:rPr>
          <w:rFonts w:ascii="Times New Roman" w:cs="Times New Roman" w:eastAsia="Times New Roman" w:hAnsi="Times New Roman"/>
          <w:sz w:val="15"/>
          <w:szCs w:val="15"/>
          <w:color w:val="auto"/>
        </w:rPr>
        <w: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details of operating loss before income taxes for the company's Other activities: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0" w:type="dxa"/>
            <w:vAlign w:val="bottom"/>
          </w:tcPr>
          <w:p>
            <w:pPr>
              <w:spacing w:after="0"/>
              <w:rPr>
                <w:sz w:val="1"/>
                <w:szCs w:val="1"/>
                <w:color w:val="auto"/>
              </w:rPr>
            </w:pPr>
          </w:p>
        </w:tc>
      </w:tr>
      <w:tr>
        <w:trPr>
          <w:trHeight w:val="21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expenses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0" w:type="dxa"/>
            <w:vAlign w:val="bottom"/>
          </w:tcPr>
          <w:p>
            <w:pPr>
              <w:spacing w:after="0"/>
              <w:rPr>
                <w:sz w:val="1"/>
                <w:szCs w:val="1"/>
                <w:color w:val="auto"/>
              </w:rPr>
            </w:pPr>
          </w:p>
        </w:tc>
      </w:tr>
      <w:tr>
        <w:trPr>
          <w:trHeight w:val="21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162"/>
        </w:trPr>
        <w:tc>
          <w:tcPr>
            <w:tcW w:w="51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Earnings from the company's wholly-owned domestic distribution company</w:t>
            </w:r>
          </w:p>
        </w:tc>
        <w:tc>
          <w:tcPr>
            <w:tcW w:w="3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24.6</w:t>
            </w: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15"/>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other income, net</w:t>
            </w: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operating loss</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0" w:type="dxa"/>
            <w:vAlign w:val="bottom"/>
          </w:tcPr>
          <w:p>
            <w:pPr>
              <w:spacing w:after="0"/>
              <w:rPr>
                <w:sz w:val="1"/>
                <w:szCs w:val="1"/>
                <w:color w:val="auto"/>
              </w:rPr>
            </w:pPr>
          </w:p>
        </w:tc>
      </w:tr>
      <w:tr>
        <w:trPr>
          <w:trHeight w:val="22"/>
        </w:trPr>
        <w:tc>
          <w:tcPr>
            <w:tcW w:w="5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79"/>
        <w:spacing w:after="0"/>
        <w:tabs>
          <w:tab w:leader="none" w:pos="600" w:val="left"/>
        </w:tabs>
        <w:numPr>
          <w:ilvl w:val="0"/>
          <w:numId w:val="10"/>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disaggregate the company's reportable segment net sales by major product type and geographic market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August 2, 2024</w:t>
            </w:r>
          </w:p>
        </w:tc>
        <w:tc>
          <w:tcPr>
            <w:tcW w:w="15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7"/>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772.8</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112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1,043.4</w:t>
            </w:r>
          </w:p>
        </w:tc>
      </w:tr>
      <w:tr>
        <w:trPr>
          <w:trHeight w:val="220"/>
        </w:trPr>
        <w:tc>
          <w:tcPr>
            <w:tcW w:w="3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r>
      <w:tr>
        <w:trPr>
          <w:trHeight w:val="213"/>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880.9</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1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1,156.9</w:t>
            </w:r>
          </w:p>
        </w:tc>
      </w:tr>
      <w:tr>
        <w:trPr>
          <w:trHeight w:val="22"/>
        </w:trPr>
        <w:tc>
          <w:tcPr>
            <w:tcW w:w="39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0"/>
        </w:trPr>
        <w:tc>
          <w:tcPr>
            <w:tcW w:w="39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7"/>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694.0</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12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938.7</w:t>
            </w:r>
          </w:p>
        </w:tc>
      </w:tr>
      <w:tr>
        <w:trPr>
          <w:trHeight w:val="220"/>
        </w:trPr>
        <w:tc>
          <w:tcPr>
            <w:tcW w:w="3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w:t>
            </w:r>
          </w:p>
        </w:tc>
      </w:tr>
      <w:tr>
        <w:trPr>
          <w:trHeight w:val="213"/>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880.9</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1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1,156.9</w:t>
            </w:r>
          </w:p>
        </w:tc>
      </w:tr>
      <w:tr>
        <w:trPr>
          <w:trHeight w:val="22"/>
        </w:trPr>
        <w:tc>
          <w:tcPr>
            <w:tcW w:w="39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August 2, 2024</w:t>
            </w:r>
          </w:p>
        </w:tc>
        <w:tc>
          <w:tcPr>
            <w:tcW w:w="15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7"/>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2,300.3</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827.1</w:t>
            </w:r>
          </w:p>
        </w:tc>
        <w:tc>
          <w:tcPr>
            <w:tcW w:w="1080" w:type="dxa"/>
            <w:vAlign w:val="bottom"/>
          </w:tcPr>
          <w:p>
            <w:pPr>
              <w:jc w:val="right"/>
              <w:ind w:right="8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3,143.4</w:t>
            </w:r>
          </w:p>
        </w:tc>
      </w:tr>
      <w:tr>
        <w:trPr>
          <w:trHeight w:val="220"/>
        </w:trPr>
        <w:tc>
          <w:tcPr>
            <w:tcW w:w="3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5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w:t>
            </w:r>
          </w:p>
        </w:tc>
      </w:tr>
      <w:tr>
        <w:trPr>
          <w:trHeight w:val="213"/>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5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2,643.0</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108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3,507.8</w:t>
            </w:r>
          </w:p>
        </w:tc>
      </w:tr>
      <w:tr>
        <w:trPr>
          <w:trHeight w:val="22"/>
        </w:trPr>
        <w:tc>
          <w:tcPr>
            <w:tcW w:w="38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0"/>
        </w:trPr>
        <w:tc>
          <w:tcPr>
            <w:tcW w:w="38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2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5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7"/>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2,054.8</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740.0</w:t>
            </w:r>
          </w:p>
        </w:tc>
        <w:tc>
          <w:tcPr>
            <w:tcW w:w="1080" w:type="dxa"/>
            <w:vAlign w:val="bottom"/>
          </w:tcPr>
          <w:p>
            <w:pPr>
              <w:jc w:val="right"/>
              <w:ind w:right="8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2,816.4</w:t>
            </w:r>
          </w:p>
        </w:tc>
      </w:tr>
      <w:tr>
        <w:trPr>
          <w:trHeight w:val="220"/>
        </w:trPr>
        <w:tc>
          <w:tcPr>
            <w:tcW w:w="3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5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588.2</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691.4</w:t>
            </w:r>
          </w:p>
        </w:tc>
      </w:tr>
      <w:tr>
        <w:trPr>
          <w:trHeight w:val="213"/>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5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2,643.0</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108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3,507.8</w:t>
            </w:r>
          </w:p>
        </w:tc>
      </w:tr>
      <w:tr>
        <w:trPr>
          <w:trHeight w:val="22"/>
        </w:trPr>
        <w:tc>
          <w:tcPr>
            <w:tcW w:w="38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August 4, 2023</w:t>
            </w:r>
          </w:p>
        </w:tc>
        <w:tc>
          <w:tcPr>
            <w:tcW w:w="15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7"/>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777.2</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080" w:type="dxa"/>
            <w:vAlign w:val="bottom"/>
          </w:tcPr>
          <w:p>
            <w:pPr>
              <w:jc w:val="right"/>
              <w:ind w:right="8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951.5</w:t>
            </w:r>
          </w:p>
        </w:tc>
      </w:tr>
      <w:tr>
        <w:trPr>
          <w:trHeight w:val="220"/>
        </w:trPr>
        <w:tc>
          <w:tcPr>
            <w:tcW w:w="3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213"/>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896.3</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108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1,081.8</w:t>
            </w:r>
          </w:p>
        </w:tc>
      </w:tr>
      <w:tr>
        <w:trPr>
          <w:trHeight w:val="22"/>
        </w:trPr>
        <w:tc>
          <w:tcPr>
            <w:tcW w:w="39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0"/>
        </w:trPr>
        <w:tc>
          <w:tcPr>
            <w:tcW w:w="39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7"/>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690.8</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080" w:type="dxa"/>
            <w:vAlign w:val="bottom"/>
          </w:tcPr>
          <w:p>
            <w:pPr>
              <w:jc w:val="right"/>
              <w:ind w:right="8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846.8</w:t>
            </w:r>
          </w:p>
        </w:tc>
      </w:tr>
      <w:tr>
        <w:trPr>
          <w:trHeight w:val="220"/>
        </w:trPr>
        <w:tc>
          <w:tcPr>
            <w:tcW w:w="3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r>
      <w:tr>
        <w:trPr>
          <w:trHeight w:val="213"/>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896.3</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108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1,081.8</w:t>
            </w:r>
          </w:p>
        </w:tc>
      </w:tr>
      <w:tr>
        <w:trPr>
          <w:trHeight w:val="22"/>
        </w:trPr>
        <w:tc>
          <w:tcPr>
            <w:tcW w:w="39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August 4, 2023</w:t>
            </w:r>
          </w:p>
        </w:tc>
        <w:tc>
          <w:tcPr>
            <w:tcW w:w="15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7"/>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2,486.9</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682.8</w:t>
            </w:r>
          </w:p>
        </w:tc>
        <w:tc>
          <w:tcPr>
            <w:tcW w:w="1080" w:type="dxa"/>
            <w:vAlign w:val="bottom"/>
          </w:tcPr>
          <w:p>
            <w:pPr>
              <w:jc w:val="right"/>
              <w:ind w:right="8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3,181.2</w:t>
            </w:r>
          </w:p>
        </w:tc>
      </w:tr>
      <w:tr>
        <w:trPr>
          <w:trHeight w:val="220"/>
        </w:trPr>
        <w:tc>
          <w:tcPr>
            <w:tcW w:w="3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5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r>
      <w:tr>
        <w:trPr>
          <w:trHeight w:val="213"/>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5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2,845.7</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705.8</w:t>
            </w:r>
          </w:p>
        </w:tc>
        <w:tc>
          <w:tcPr>
            <w:tcW w:w="108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3,570.0</w:t>
            </w:r>
          </w:p>
        </w:tc>
      </w:tr>
      <w:tr>
        <w:trPr>
          <w:trHeight w:val="22"/>
        </w:trPr>
        <w:tc>
          <w:tcPr>
            <w:tcW w:w="38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0"/>
        </w:trPr>
        <w:tc>
          <w:tcPr>
            <w:tcW w:w="38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2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5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7"/>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2,225.5</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569.3</w:t>
            </w:r>
          </w:p>
        </w:tc>
        <w:tc>
          <w:tcPr>
            <w:tcW w:w="1080" w:type="dxa"/>
            <w:vAlign w:val="bottom"/>
          </w:tcPr>
          <w:p>
            <w:pPr>
              <w:jc w:val="right"/>
              <w:ind w:right="8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2,813.3</w:t>
            </w:r>
          </w:p>
        </w:tc>
      </w:tr>
      <w:tr>
        <w:trPr>
          <w:trHeight w:val="220"/>
        </w:trPr>
        <w:tc>
          <w:tcPr>
            <w:tcW w:w="3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5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620.2</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756.7</w:t>
            </w:r>
          </w:p>
        </w:tc>
      </w:tr>
      <w:tr>
        <w:trPr>
          <w:trHeight w:val="213"/>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5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2,845.7</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705.8</w:t>
            </w:r>
          </w:p>
        </w:tc>
        <w:tc>
          <w:tcPr>
            <w:tcW w:w="108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3,570.0</w:t>
            </w:r>
          </w:p>
        </w:tc>
      </w:tr>
      <w:tr>
        <w:trPr>
          <w:trHeight w:val="22"/>
        </w:trPr>
        <w:tc>
          <w:tcPr>
            <w:tcW w:w="38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August 2, 2024 and October 31, 2023, $26.3 million and $25.6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and nine months ended August 2, 2024, the company recognized $2.5 million and $9.7 million, respectively, of the October 31, 2023 deferred revenue balance within net sales in the Condensed Consolidated Statements of Earnings (Loss). The company expects to recognize approximately $2.3 million of the October 31, 2023 deferred revenue amount within net sales throughout the remainder of fiscal 2024, $7.8 million in fiscal 2025, and $5.8 million thereafter.</w:t>
      </w:r>
    </w:p>
    <w:p>
      <w:pPr>
        <w:spacing w:after="0" w:line="102" w:lineRule="exact"/>
        <w:rPr>
          <w:sz w:val="20"/>
          <w:szCs w:val="20"/>
          <w:color w:val="auto"/>
        </w:rPr>
      </w:pPr>
    </w:p>
    <w:p>
      <w:pPr>
        <w:ind w:left="600" w:hanging="579"/>
        <w:spacing w:after="0"/>
        <w:tabs>
          <w:tab w:leader="none" w:pos="600" w:val="left"/>
        </w:tabs>
        <w:numPr>
          <w:ilvl w:val="0"/>
          <w:numId w:val="11"/>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Goodwill and Other Intangible Assets, Net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the carrying amount of goodwill by reportable segment for the first nine months of fiscal 2024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7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17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440.5</w:t>
            </w:r>
          </w:p>
        </w:tc>
        <w:tc>
          <w:tcPr>
            <w:tcW w:w="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10.3</w:t>
            </w:r>
          </w:p>
        </w:tc>
        <w:tc>
          <w:tcPr>
            <w:tcW w:w="110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450.8</w:t>
            </w:r>
          </w:p>
        </w:tc>
      </w:tr>
      <w:tr>
        <w:trPr>
          <w:trHeight w:val="21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Divestitures</w:t>
            </w:r>
          </w:p>
        </w:tc>
        <w:tc>
          <w:tcPr>
            <w:tcW w:w="17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2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7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August 2, 2024</w:t>
            </w:r>
          </w:p>
        </w:tc>
        <w:tc>
          <w:tcPr>
            <w:tcW w:w="17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440.3</w:t>
            </w: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9.9</w:t>
            </w:r>
          </w:p>
        </w:tc>
        <w:tc>
          <w:tcPr>
            <w:tcW w:w="110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450.2</w:t>
            </w:r>
          </w:p>
        </w:tc>
      </w:tr>
      <w:tr>
        <w:trPr>
          <w:trHeight w:val="22"/>
        </w:trPr>
        <w:tc>
          <w:tcPr>
            <w:tcW w:w="36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other intangible assets, net as of August 2, 2024, August 4, 2023, and October 31, 2023 were as follows (dollars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3020" w:type="dxa"/>
            <w:vAlign w:val="bottom"/>
            <w:tcBorders>
              <w:top w:val="single" w:sz="8" w:color="auto"/>
            </w:tcBorders>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8"/>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vMerge w:val="continue"/>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3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38"/>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38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3020" w:type="dxa"/>
            <w:vAlign w:val="bottom"/>
            <w:tcBorders>
              <w:top w:val="single" w:sz="8" w:color="auto"/>
            </w:tcBorders>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8"/>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vMerge w:val="continue"/>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3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Backlog and other</w:t>
            </w: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38"/>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38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2023</w:t>
            </w:r>
          </w:p>
        </w:tc>
        <w:tc>
          <w:tcPr>
            <w:tcW w:w="3020" w:type="dxa"/>
            <w:vAlign w:val="bottom"/>
            <w:tcBorders>
              <w:top w:val="single" w:sz="8" w:color="auto"/>
            </w:tcBorders>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8"/>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vMerge w:val="continue"/>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3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Backlog and other</w:t>
            </w: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0" w:type="dxa"/>
            <w:vAlign w:val="bottom"/>
          </w:tcPr>
          <w:p>
            <w:pPr>
              <w:spacing w:after="0"/>
              <w:rPr>
                <w:sz w:val="1"/>
                <w:szCs w:val="1"/>
                <w:color w:val="auto"/>
              </w:rPr>
            </w:pPr>
          </w:p>
        </w:tc>
      </w:tr>
      <w:tr>
        <w:trPr>
          <w:trHeight w:val="238"/>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38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Amortization expense for finite-lived intangible assets for the three and nine months ended August 2, 2024 was $8.8 million and $26.3 million, respectively. Amortization expense for finite-lived intangibles assets for the three and nine months ended August 4, 2023 was $8.9 million and $26.8 million, respectively. As of August 2, 2024, estimated amortization expense for the remainder of fiscal 2024 and succeeding fiscal years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7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August 2, 2024</w:t>
            </w:r>
          </w:p>
        </w:tc>
      </w:tr>
      <w:tr>
        <w:trPr>
          <w:trHeight w:val="21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(remaining)</w:t>
            </w:r>
          </w:p>
        </w:tc>
        <w:tc>
          <w:tcPr>
            <w:tcW w:w="3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7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7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7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7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7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20"/>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7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r>
      <w:tr>
        <w:trPr>
          <w:trHeight w:val="213"/>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estimated amortization expense</w:t>
            </w:r>
          </w:p>
        </w:tc>
        <w:tc>
          <w:tcPr>
            <w:tcW w:w="37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240.8</w:t>
            </w:r>
          </w:p>
        </w:tc>
      </w:tr>
      <w:tr>
        <w:trPr>
          <w:trHeight w:val="22"/>
        </w:trPr>
        <w:tc>
          <w:tcPr>
            <w:tcW w:w="604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Fiscal 2023 Impairment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Intimidator</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At the end of the third quarter of fiscal 2023, the company recorded an impairment charge of $18.0 million related to the indefinite-lived Spartan trade name intangible asset reported under the Professional segment. Further, during the same period, the company recorded an impairment charge of $133.3 million related to goodwill of the Intimidator reporting unit also reported under the Professional segment. Subsequent to these impairment charges, the remaining balance of the indefinite-lived Spartan trade name intangible asset was $81.1 million and the remaining balance of goodwill for the Intimidator reporting unit was $30.5 million. The charges are included in the Non-cash impairment charges caption on the Condensed Consolidated Statements of Earnings (Loss). These impairment charges resulted in a $36.7 million income tax benefit (deferred tax asset) associated with the remaining tax deductible basis in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548"/>
        </w:trPr>
        <w:tc>
          <w:tcPr>
            <w:tcW w:w="420" w:type="dxa"/>
            <w:vAlign w:val="bottom"/>
          </w:tcPr>
          <w:p>
            <w:pPr>
              <w:ind w:left="20"/>
              <w:spacing w:after="0"/>
              <w:rPr>
                <w:sz w:val="20"/>
                <w:szCs w:val="20"/>
                <w:color w:val="auto"/>
              </w:rPr>
            </w:pPr>
            <w:r>
              <w:rPr>
                <w:rFonts w:ascii="Times New Roman" w:cs="Times New Roman" w:eastAsia="Times New Roman" w:hAnsi="Times New Roman"/>
                <w:sz w:val="41"/>
                <w:szCs w:val="41"/>
                <w:b w:val="1"/>
                <w:bCs w:val="1"/>
                <w:color w:val="auto"/>
              </w:rPr>
              <w:t>6</w:t>
            </w:r>
          </w:p>
        </w:tc>
        <w:tc>
          <w:tcPr>
            <w:tcW w:w="47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Indebtedness</w:t>
            </w: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5"/>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is a summary of the company's indebtedness:</w:t>
            </w:r>
          </w:p>
        </w:tc>
        <w:tc>
          <w:tcPr>
            <w:tcW w:w="1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129"/>
        </w:trPr>
        <w:tc>
          <w:tcPr>
            <w:tcW w:w="5140" w:type="dxa"/>
            <w:vAlign w:val="bottom"/>
            <w:tcBorders>
              <w:bottom w:val="single" w:sz="8" w:color="auto"/>
            </w:tcBorders>
            <w:gridSpan w:val="2"/>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212"/>
        </w:trPr>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$600 million revolving credit facility, due October 2026</w:t>
            </w:r>
          </w:p>
        </w:tc>
        <w:tc>
          <w:tcPr>
            <w:tcW w:w="1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$270 million term loan, due October 2026</w:t>
            </w:r>
          </w:p>
        </w:tc>
        <w:tc>
          <w:tcPr>
            <w:tcW w:w="1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28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270.0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million term loan, due April 2027</w:t>
            </w:r>
          </w:p>
        </w:tc>
        <w:tc>
          <w:tcPr>
            <w:tcW w:w="1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1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28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124.1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20"/>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long-term debt</w:t>
            </w:r>
          </w:p>
        </w:tc>
        <w:tc>
          <w:tcPr>
            <w:tcW w:w="1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991.9</w:t>
            </w:r>
          </w:p>
        </w:tc>
        <w:tc>
          <w:tcPr>
            <w:tcW w:w="28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1,061.3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1,031.5</w:t>
            </w:r>
          </w:p>
        </w:tc>
      </w:tr>
      <w:tr>
        <w:trPr>
          <w:trHeight w:val="220"/>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966.6</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1,061.3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1,031.5</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As of August 2, 2024, principal payments required on the company's outstanding indebtedness, based on the maturity dates defined within the company's debt arrangements, for the remainder of fiscal 2024 and succeeding fiscal years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88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August 2, 2024</w:t>
            </w:r>
          </w:p>
        </w:tc>
      </w:tr>
      <w:tr>
        <w:trPr>
          <w:trHeight w:val="21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(remaining)</w:t>
            </w:r>
          </w:p>
        </w:tc>
        <w:tc>
          <w:tcPr>
            <w:tcW w:w="3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8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8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8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8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8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0"/>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8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w:t>
            </w:r>
          </w:p>
        </w:tc>
      </w:tr>
      <w:tr>
        <w:trPr>
          <w:trHeight w:val="21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principal payments required</w:t>
            </w:r>
          </w:p>
        </w:tc>
        <w:tc>
          <w:tcPr>
            <w:tcW w:w="38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995.0</w:t>
            </w:r>
          </w:p>
        </w:tc>
      </w:tr>
      <w:tr>
        <w:trPr>
          <w:trHeight w:val="22"/>
        </w:trPr>
        <w:tc>
          <w:tcPr>
            <w:tcW w:w="592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Covenants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in compliance with all covenants under the company’s outstanding indebtedness as of August 2, 2024.</w:t>
      </w:r>
    </w:p>
    <w:p>
      <w:pPr>
        <w:spacing w:after="0" w:line="142" w:lineRule="exact"/>
        <w:rPr>
          <w:sz w:val="20"/>
          <w:szCs w:val="20"/>
          <w:color w:val="auto"/>
        </w:rPr>
      </w:pPr>
    </w:p>
    <w:p>
      <w:pPr>
        <w:ind w:left="600" w:hanging="579"/>
        <w:spacing w:after="0"/>
        <w:tabs>
          <w:tab w:leader="none" w:pos="600" w:val="left"/>
        </w:tabs>
        <w:numPr>
          <w:ilvl w:val="0"/>
          <w:numId w:val="12"/>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Inventories, Net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uses a combination of inventory valuation methods. Inventories are valued at the lower of cost or net realizable value, with cost determined by the first-in, first-out ("FIFO") and average cost methods for certain of the company's inventories. All remaining inventories are valued at the lower of cost or market, with cost determined under the last-in, first-out ("LIFO") method.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net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work in process</w:t>
            </w:r>
          </w:p>
        </w:tc>
        <w:tc>
          <w:tcPr>
            <w:tcW w:w="20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435.1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w:t>
            </w:r>
          </w:p>
        </w:tc>
      </w:tr>
      <w:tr>
        <w:trPr>
          <w:trHeight w:val="217"/>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Finished goods and service parts</w:t>
            </w:r>
          </w:p>
        </w:tc>
        <w:tc>
          <w:tcPr>
            <w:tcW w:w="20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843.5</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847.5</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844.2</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FIFO and average cost value</w:t>
            </w:r>
          </w:p>
        </w:tc>
        <w:tc>
          <w:tcPr>
            <w:tcW w:w="20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1,238.7</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1,282.6</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1,244.5</w:t>
            </w:r>
          </w:p>
        </w:tc>
      </w:tr>
      <w:tr>
        <w:trPr>
          <w:trHeight w:val="217"/>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adjustment to LIFO value</w:t>
            </w:r>
          </w:p>
        </w:tc>
        <w:tc>
          <w:tcPr>
            <w:tcW w:w="20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169.9</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w:t>
            </w:r>
          </w:p>
        </w:tc>
      </w:tr>
      <w:tr>
        <w:trPr>
          <w:trHeight w:val="238"/>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 net</w:t>
            </w:r>
          </w:p>
        </w:tc>
        <w:tc>
          <w:tcPr>
            <w:tcW w:w="20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1,082.0</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1,112.7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1,087.8</w:t>
            </w:r>
          </w:p>
        </w:tc>
      </w:tr>
      <w:tr>
        <w:trPr>
          <w:trHeight w:val="20"/>
        </w:trPr>
        <w:tc>
          <w:tcPr>
            <w:tcW w:w="42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79"/>
        <w:spacing w:after="0"/>
        <w:tabs>
          <w:tab w:leader="none" w:pos="600" w:val="left"/>
        </w:tabs>
        <w:numPr>
          <w:ilvl w:val="0"/>
          <w:numId w:val="13"/>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Property, Plant, and Equipment, Net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expensed as incurred within cost of sales or selling, general and administrative expense in the Condensed Consolidated Statements of Earnings (Loss) depending on the nature and use of the related asset. Interest is capitalized during the construction period for significant capital projects.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net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9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19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21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19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28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331.1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19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642.2</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585.4</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624.6</w:t>
            </w:r>
          </w:p>
        </w:tc>
      </w:tr>
      <w:tr>
        <w:trPr>
          <w:trHeight w:val="21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Tooling</w:t>
            </w:r>
          </w:p>
        </w:tc>
        <w:tc>
          <w:tcPr>
            <w:tcW w:w="19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28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235.4</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19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108.2</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r>
      <w:tr>
        <w:trPr>
          <w:trHeight w:val="217"/>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19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204.3</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w:t>
            </w:r>
          </w:p>
        </w:tc>
      </w:tr>
      <w:tr>
        <w:trPr>
          <w:trHeight w:val="216"/>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19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1,598.8</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1,527.4</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1,541.0</w:t>
            </w:r>
          </w:p>
        </w:tc>
      </w:tr>
      <w:tr>
        <w:trPr>
          <w:trHeight w:val="217"/>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9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963.1</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902.4</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899.3</w:t>
            </w:r>
          </w:p>
        </w:tc>
      </w:tr>
      <w:tr>
        <w:trPr>
          <w:trHeight w:val="238"/>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9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635.7</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625.0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641.7</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00" w:hanging="579"/>
        <w:spacing w:after="0"/>
        <w:tabs>
          <w:tab w:leader="none" w:pos="600" w:val="left"/>
        </w:tabs>
        <w:numPr>
          <w:ilvl w:val="0"/>
          <w:numId w:val="14"/>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Product Warranty Guarantees</w:t>
      </w:r>
    </w:p>
    <w:p>
      <w:pPr>
        <w:spacing w:after="0" w:line="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At the time of sale, the company recognizes expense and records an accrual by product line for estimated costs in connection with forecasted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accrued warranties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6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4, 2023</w:t>
            </w:r>
          </w:p>
        </w:tc>
      </w:tr>
      <w:tr>
        <w:trPr>
          <w:trHeight w:val="21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r>
      <w:tr>
        <w:trPr>
          <w:trHeight w:val="21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accrual related to warranties issued during the period</w:t>
            </w:r>
          </w:p>
        </w:tc>
        <w:tc>
          <w:tcPr>
            <w:tcW w:w="660" w:type="dxa"/>
            <w:vAlign w:val="bottom"/>
          </w:tcPr>
          <w:p>
            <w:pPr>
              <w:spacing w:after="0"/>
              <w:rPr>
                <w:sz w:val="18"/>
                <w:szCs w:val="18"/>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20.0</w:t>
            </w:r>
          </w:p>
        </w:tc>
        <w:tc>
          <w:tcPr>
            <w:tcW w:w="18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20.5</w:t>
            </w:r>
          </w:p>
        </w:tc>
        <w:tc>
          <w:tcPr>
            <w:tcW w:w="200" w:type="dxa"/>
            <w:vAlign w:val="bottom"/>
          </w:tcPr>
          <w:p>
            <w:pPr>
              <w:spacing w:after="0"/>
              <w:rPr>
                <w:sz w:val="18"/>
                <w:szCs w:val="18"/>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60.4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made during the period</w:t>
            </w:r>
          </w:p>
        </w:tc>
        <w:tc>
          <w:tcPr>
            <w:tcW w:w="6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217"/>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Changes in accrual related to pre-existing warranties</w:t>
            </w:r>
          </w:p>
        </w:tc>
        <w:tc>
          <w:tcPr>
            <w:tcW w:w="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7.4</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38"/>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147.7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10 </w:t>
      </w:r>
      <w:r>
        <w:rPr>
          <w:rFonts w:ascii="Times New Roman" w:cs="Times New Roman" w:eastAsia="Times New Roman" w:hAnsi="Times New Roman"/>
          <w:sz w:val="18"/>
          <w:szCs w:val="18"/>
          <w:b w:val="1"/>
          <w:bCs w:val="1"/>
          <w:color w:val="auto"/>
        </w:rPr>
        <w:t>Investment in Joint Venture</w:t>
      </w:r>
    </w:p>
    <w:p>
      <w:pPr>
        <w:spacing w:after="0" w:line="1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 company is party to a joint venture with Huntington Distribution Finance, Inc. ("HDF"), a subsidiary of The Huntington National Bank, established as Red Iron Acceptance, LLC ("Red Iron"), the primary purpose of which is to provide customer inventory financing to certain distributors and dealers of certain of the company’s products in the U.S. The company has also entered into a limited inventory repurchase agreement with Red Iron. For additional information regarding the customer financing aspect of the arrangement, as well as the limited inventory purchase agreement, refer to Note 14,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owns 45 percent of Red Iron and HDF owns 55 percent of Red Iron. The company accounts for its investment in Red Iron under the equity method of accounting. The company and HDF each contributed a specified amount of the estimated cash required to enable Red Iron to purchase the company's floor plan financing receivables and to provide financial support for Red Iron's floor plan financing programs. Red Iron borrows the remaining requisite estimated cash utilizing an $1,350.0 million secured revolving credit facility established under a credit agreement between Red Iron and HDF. The company's total investment in Red Iron as of August 2, 2024, August 4, 2023 and October 31, 2023 was $46.4 million, $48.5 million, and $50.6 million, respectively. The company has not guaranteed the outstanding indebtedness of Red Iron.</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11 </w:t>
      </w:r>
      <w:r>
        <w:rPr>
          <w:rFonts w:ascii="Times New Roman" w:cs="Times New Roman" w:eastAsia="Times New Roman" w:hAnsi="Times New Roman"/>
          <w:sz w:val="18"/>
          <w:szCs w:val="18"/>
          <w:b w:val="1"/>
          <w:bCs w:val="1"/>
          <w:color w:val="auto"/>
        </w:rPr>
        <w:t>Stock-Based Compensation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costs related to stock-based compensation awards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4, 2023</w:t>
            </w:r>
          </w:p>
        </w:tc>
      </w:tr>
      <w:tr>
        <w:trPr>
          <w:trHeight w:val="21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awards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7"/>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 share awards</w:t>
            </w:r>
          </w:p>
        </w:tc>
        <w:tc>
          <w:tcPr>
            <w:tcW w:w="7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 awards</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7"/>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Unrestricted common stock awards</w:t>
            </w:r>
          </w:p>
        </w:tc>
        <w:tc>
          <w:tcPr>
            <w:tcW w:w="7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8"/>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compensation cost for stock-based compensation awards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 Awards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("Board")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and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company's stock-based compensation plans.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will not be forfeited but continue to vest according to their schedule following retirement. Therefore, the fair value of the options granted is fully expensed on the date of the grant.</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7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table below illustrates the weighted-average valuation assumptions used under the Black-Scholes valuation method for options granted in the first nine months of the following fiscal periods: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20" w:type="dxa"/>
            <w:vAlign w:val="bottom"/>
            <w:tcBorders>
              <w:top w:val="single" w:sz="8" w:color="auto"/>
              <w:bottom w:val="single" w:sz="8" w:color="auto"/>
            </w:tcBorders>
          </w:tcPr>
          <w:p>
            <w:pPr>
              <w:spacing w:after="0"/>
              <w:rPr>
                <w:sz w:val="20"/>
                <w:szCs w:val="20"/>
                <w:color w:val="auto"/>
              </w:rPr>
            </w:pPr>
          </w:p>
        </w:tc>
        <w:tc>
          <w:tcPr>
            <w:tcW w:w="3640" w:type="dxa"/>
            <w:vAlign w:val="bottom"/>
            <w:tcBorders>
              <w:top w:val="single" w:sz="8" w:color="auto"/>
              <w:bottom w:val="single" w:sz="8" w:color="auto"/>
            </w:tcBorders>
          </w:tcPr>
          <w:p>
            <w:pPr>
              <w:ind w:left="2380"/>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16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Fiscal 2023</w:t>
            </w:r>
          </w:p>
        </w:tc>
      </w:tr>
      <w:tr>
        <w:trPr>
          <w:trHeight w:val="21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life of option in years</w:t>
            </w:r>
          </w:p>
        </w:tc>
        <w:tc>
          <w:tcPr>
            <w:tcW w:w="3640" w:type="dxa"/>
            <w:vAlign w:val="bottom"/>
            <w:shd w:val="clear" w:color="auto" w:fill="CCEEFF"/>
          </w:tcPr>
          <w:p>
            <w:pPr>
              <w:jc w:val="center"/>
              <w:ind w:left="1818"/>
              <w:spacing w:after="0"/>
              <w:rPr>
                <w:sz w:val="20"/>
                <w:szCs w:val="20"/>
                <w:color w:val="auto"/>
              </w:rPr>
            </w:pPr>
            <w:r>
              <w:rPr>
                <w:rFonts w:ascii="Times New Roman" w:cs="Times New Roman" w:eastAsia="Times New Roman" w:hAnsi="Times New Roman"/>
                <w:sz w:val="16"/>
                <w:szCs w:val="16"/>
                <w:color w:val="auto"/>
              </w:rPr>
              <w:t>6.37</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6.31</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3640" w:type="dxa"/>
            <w:vAlign w:val="bottom"/>
          </w:tcPr>
          <w:p>
            <w:pPr>
              <w:jc w:val="center"/>
              <w:ind w:left="1818"/>
              <w:spacing w:after="0"/>
              <w:rPr>
                <w:sz w:val="20"/>
                <w:szCs w:val="20"/>
                <w:color w:val="auto"/>
              </w:rPr>
            </w:pPr>
            <w:r>
              <w:rPr>
                <w:rFonts w:ascii="Times New Roman" w:cs="Times New Roman" w:eastAsia="Times New Roman" w:hAnsi="Times New Roman"/>
                <w:sz w:val="16"/>
                <w:szCs w:val="16"/>
                <w:color w:val="auto"/>
              </w:rPr>
              <w:t>26.76%</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25.20%</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3640" w:type="dxa"/>
            <w:vAlign w:val="bottom"/>
            <w:shd w:val="clear" w:color="auto" w:fill="CCEEFF"/>
          </w:tcPr>
          <w:p>
            <w:pPr>
              <w:jc w:val="center"/>
              <w:ind w:left="1818"/>
              <w:spacing w:after="0"/>
              <w:rPr>
                <w:sz w:val="20"/>
                <w:szCs w:val="20"/>
                <w:color w:val="auto"/>
              </w:rPr>
            </w:pPr>
            <w:r>
              <w:rPr>
                <w:rFonts w:ascii="Times New Roman" w:cs="Times New Roman" w:eastAsia="Times New Roman" w:hAnsi="Times New Roman"/>
                <w:sz w:val="16"/>
                <w:szCs w:val="16"/>
                <w:color w:val="auto"/>
              </w:rPr>
              <w:t>3.95%</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3.79%</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3640" w:type="dxa"/>
            <w:vAlign w:val="bottom"/>
          </w:tcPr>
          <w:p>
            <w:pPr>
              <w:jc w:val="center"/>
              <w:ind w:left="1818"/>
              <w:spacing w:after="0"/>
              <w:rPr>
                <w:sz w:val="20"/>
                <w:szCs w:val="20"/>
                <w:color w:val="auto"/>
              </w:rPr>
            </w:pPr>
            <w:r>
              <w:rPr>
                <w:rFonts w:ascii="Times New Roman" w:cs="Times New Roman" w:eastAsia="Times New Roman" w:hAnsi="Times New Roman"/>
                <w:sz w:val="16"/>
                <w:szCs w:val="16"/>
                <w:color w:val="auto"/>
              </w:rPr>
              <w:t>1.15%</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0.95%</w:t>
            </w:r>
          </w:p>
        </w:tc>
      </w:tr>
      <w:tr>
        <w:trPr>
          <w:trHeight w:val="220"/>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weighted-average fair value at date of grant</w:t>
            </w:r>
          </w:p>
        </w:tc>
        <w:tc>
          <w:tcPr>
            <w:tcW w:w="3640" w:type="dxa"/>
            <w:vAlign w:val="bottom"/>
            <w:tcBorders>
              <w:bottom w:val="single" w:sz="8" w:color="auto"/>
            </w:tcBorders>
            <w:shd w:val="clear" w:color="auto" w:fill="CCEEFF"/>
          </w:tcPr>
          <w:p>
            <w:pPr>
              <w:jc w:val="center"/>
              <w:ind w:left="1818"/>
              <w:spacing w:after="0"/>
              <w:rPr>
                <w:sz w:val="20"/>
                <w:szCs w:val="20"/>
                <w:color w:val="auto"/>
              </w:rPr>
            </w:pPr>
            <w:r>
              <w:rPr>
                <w:rFonts w:ascii="Times New Roman" w:cs="Times New Roman" w:eastAsia="Times New Roman" w:hAnsi="Times New Roman"/>
                <w:sz w:val="16"/>
                <w:szCs w:val="16"/>
                <w:color w:val="auto"/>
              </w:rPr>
              <w:t>$30.39</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$33.21</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Share Awards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which is equal to the closing price of the company's common stock on the date of grant, and the probability of achieving each performance goal. The per share weighted-average fair value of performance share awards granted during the first quarter of fiscal 2024 and 2023 was $99.60 and $112.14, respectively. No performance share awards were granted during the second or third quarters of fiscal 2024 and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Awards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Restricted stock unit awards are generally granted to certain employees who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 The per share weighted-average fair value of restricted stock unit awards granted during the first nine months of fiscal 2024 and 2023 was $96.73 and $103.46,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Unrestricted Common Stock Awards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During the first nine months of fiscal 2024 and 2023, 7,544 and 10,329 shares, respectively, of fully vested unrestricted common stock awards were granted to certain Board members as a component of their compensation for their service on the Board and were recorded within selling, general and administrative expense in the Condensed Consolidated Statements of Earnings (Loss). Additionally, the Company's Board members may elect to convert a portion or all of their calendar year annual retainers otherwise payable in cash into shares of the company's common stock. No shares of fully vested unrestricted common stock awards were granted during the second or third quarters of fiscal 2024 and 2023.</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12 </w:t>
      </w:r>
      <w:r>
        <w:rPr>
          <w:rFonts w:ascii="Times New Roman" w:cs="Times New Roman" w:eastAsia="Times New Roman" w:hAnsi="Times New Roman"/>
          <w:sz w:val="18"/>
          <w:szCs w:val="18"/>
          <w:b w:val="1"/>
          <w:bCs w:val="1"/>
          <w:color w:val="auto"/>
        </w:rPr>
        <w:t>Stockholders' Equity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Loss</w:t>
      </w:r>
    </w:p>
    <w:p>
      <w:pPr>
        <w:spacing w:after="0" w:line="12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components of accumulated other comprehensive loss ("AOCL"), net of tax, within the Condensed Consolidated Statements of Stockholders' Equity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80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8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21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benefits</w:t>
            </w:r>
          </w:p>
        </w:tc>
        <w:tc>
          <w:tcPr>
            <w:tcW w:w="18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20"/>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derivative instruments</w:t>
            </w:r>
          </w:p>
        </w:tc>
        <w:tc>
          <w:tcPr>
            <w:tcW w:w="18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18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30.6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2"/>
        </w:trPr>
        <w:tc>
          <w:tcPr>
            <w:tcW w:w="45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and activity of AOCL, net of tax, for the three and nine month periods ended August 2, 2024 and August 4, 2023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38"/>
              <w:spacing w:after="0" w:line="16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5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6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May 3,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36.4</w:t>
            </w:r>
          </w:p>
        </w:tc>
        <w:tc>
          <w:tcPr>
            <w:tcW w:w="3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7.1</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1.6</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8.7</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38"/>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2,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34.8</w:t>
            </w:r>
          </w:p>
        </w:tc>
        <w:tc>
          <w:tcPr>
            <w:tcW w:w="3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3.8</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right"/>
              <w:ind w:right="438"/>
              <w:spacing w:after="0" w:line="14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5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6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41.7</w:t>
            </w:r>
          </w:p>
        </w:tc>
        <w:tc>
          <w:tcPr>
            <w:tcW w:w="3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6.5</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6.3</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12.8</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38"/>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2,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34.8</w:t>
            </w:r>
          </w:p>
        </w:tc>
        <w:tc>
          <w:tcPr>
            <w:tcW w:w="3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3.8</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right"/>
              <w:ind w:right="438"/>
              <w:spacing w:after="0" w:line="14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5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6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May 5,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32.3</w:t>
            </w:r>
          </w:p>
        </w:tc>
        <w:tc>
          <w:tcPr>
            <w:tcW w:w="3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840" w:type="dxa"/>
            <w:vAlign w:val="bottom"/>
          </w:tcPr>
          <w:p>
            <w:pPr>
              <w:spacing w:after="0"/>
              <w:rPr>
                <w:sz w:val="18"/>
                <w:szCs w:val="18"/>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2.5</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8"/>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4, 2023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34.3</w:t>
            </w:r>
          </w:p>
        </w:tc>
        <w:tc>
          <w:tcPr>
            <w:tcW w:w="3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right"/>
              <w:ind w:right="438"/>
              <w:spacing w:after="0" w:line="14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5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6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51.3</w:t>
            </w:r>
          </w:p>
        </w:tc>
        <w:tc>
          <w:tcPr>
            <w:tcW w:w="3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27.2</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14.5</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38"/>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4, 2023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34.3</w:t>
            </w:r>
          </w:p>
        </w:tc>
        <w:tc>
          <w:tcPr>
            <w:tcW w:w="3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 xml:space="preserve">For additional information on the components reclassified from AOCL to the respective line items in net earnings for derivative instruments refer to Note 16, </w:t>
      </w:r>
      <w:r>
        <w:rPr>
          <w:rFonts w:ascii="Times New Roman" w:cs="Times New Roman" w:eastAsia="Times New Roman" w:hAnsi="Times New Roman"/>
          <w:sz w:val="17"/>
          <w:szCs w:val="17"/>
          <w:i w:val="1"/>
          <w:iCs w:val="1"/>
          <w:color w:val="auto"/>
        </w:rPr>
        <w:t>Derivative Instruments and Hedging Activities</w:t>
      </w:r>
      <w:r>
        <w:rPr>
          <w:rFonts w:ascii="Times New Roman" w:cs="Times New Roman" w:eastAsia="Times New Roman" w:hAnsi="Times New Roman"/>
          <w:sz w:val="17"/>
          <w:szCs w:val="17"/>
          <w:color w:val="auto"/>
        </w:rPr>
        <w: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13 </w:t>
      </w:r>
      <w:r>
        <w:rPr>
          <w:rFonts w:ascii="Times New Roman" w:cs="Times New Roman" w:eastAsia="Times New Roman" w:hAnsi="Times New Roman"/>
          <w:sz w:val="18"/>
          <w:szCs w:val="18"/>
          <w:b w:val="1"/>
          <w:bCs w:val="1"/>
          <w:color w:val="auto"/>
        </w:rPr>
        <w:t>Per Share Data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Reconciliation of basic and diluted weighted-average number of shares of common stock outstanding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2"/>
          </w:tcPr>
          <w:p>
            <w:pPr>
              <w:jc w:val="right"/>
              <w:ind w:right="75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920" w:type="dxa"/>
            <w:vAlign w:val="bottom"/>
            <w:tcBorders>
              <w:bottom w:val="single" w:sz="8" w:color="auto"/>
            </w:tcBorders>
            <w:gridSpan w:val="2"/>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20" w:type="dxa"/>
            <w:vAlign w:val="bottom"/>
            <w:tcBorders>
              <w:bottom w:val="single" w:sz="8" w:color="auto"/>
            </w:tcBorders>
          </w:tcPr>
          <w:p>
            <w:pPr>
              <w:spacing w:after="0"/>
              <w:rPr>
                <w:sz w:val="19"/>
                <w:szCs w:val="19"/>
                <w:color w:val="auto"/>
              </w:rPr>
            </w:pPr>
          </w:p>
        </w:tc>
        <w:tc>
          <w:tcPr>
            <w:tcW w:w="5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(Shares in millions)</w:t>
            </w:r>
          </w:p>
        </w:tc>
        <w:tc>
          <w:tcPr>
            <w:tcW w:w="15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5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152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4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4, 2023</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i w:val="1"/>
                <w:iCs w:val="1"/>
                <w:color w:val="auto"/>
                <w:w w:val="99"/>
              </w:rPr>
              <w:t>Diluted</w:t>
            </w:r>
          </w:p>
        </w:tc>
        <w:tc>
          <w:tcPr>
            <w:tcW w:w="47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158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104.0</w:t>
            </w:r>
          </w:p>
        </w:tc>
        <w:tc>
          <w:tcPr>
            <w:tcW w:w="152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104.3</w:t>
            </w:r>
          </w:p>
        </w:tc>
        <w:tc>
          <w:tcPr>
            <w:tcW w:w="152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104.2</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52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dilutive shares</w:t>
            </w:r>
          </w:p>
        </w:tc>
        <w:tc>
          <w:tcPr>
            <w:tcW w:w="15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0.5</w:t>
            </w:r>
          </w:p>
        </w:tc>
        <w:tc>
          <w:tcPr>
            <w:tcW w:w="15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0.6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3"/>
        </w:trPr>
        <w:tc>
          <w:tcPr>
            <w:tcW w:w="2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15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104.5</w:t>
            </w:r>
          </w:p>
        </w:tc>
        <w:tc>
          <w:tcPr>
            <w:tcW w:w="15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104.3</w:t>
            </w:r>
          </w:p>
        </w:tc>
        <w:tc>
          <w:tcPr>
            <w:tcW w:w="15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104.8</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effect of dilutive shares from stock option awards and restricted stock unit awards is computed under the treasury stock method. Stock option awards to purchase 1,722,300 and 1,410,092 shares of common stock during the third quarter of fiscal 2024 and 2023, respectively, and to purchase 1,652,878 and 483,650 shares of common stock during the first nine months of fiscal 2024 and 2023, respectively, were excluded from the computation of diluted net earnings (loss) per share of common stock because they were anti-dilutive.</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14 </w:t>
      </w:r>
      <w:r>
        <w:rPr>
          <w:rFonts w:ascii="Times New Roman" w:cs="Times New Roman" w:eastAsia="Times New Roman" w:hAnsi="Times New Roman"/>
          <w:sz w:val="18"/>
          <w:szCs w:val="18"/>
          <w:b w:val="1"/>
          <w:bCs w:val="1"/>
          <w:color w:val="auto"/>
        </w:rPr>
        <w:t>Commitments and Contingencies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Financing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Financing</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is party to inventory financing arrangements with Red Iron, Huntington Commercial Finance Canada, Inc. ("HCFC"), and other third-party financial institutions (collectively, the "financial institutions") which provide inventory financing to certain dealers and distributors of certain of the company's products in the U.S. and internationally. These financing arrangements are structured as an advance in the form of a payment by the financial institutions to the company on behalf of a distributor or dealer with respect to invoices financed by the financial institution. These payments extinguish the obligation of the dealer or distributor to make payment to the company under the terms of the applicable invoice.</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Under separate agreements between the financial institutions and the dealers and distributors, the financial institutions provide loans to the dealers and distributors for the advances paid by the financial institutions to the company. Under these financing arrangements, down payments are not required, and depending on the finance program for each product line, finance charges are incurred by the company, shared between the company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 due under the agreements between the financial institutions and the distributors and dealers, whichever occurs first. Rates are generally indexed to the Secured Overnight Financing Rate ("SOFR"), or an alternative variable rate, plus a fixed percentage that differs based on whether the financing is for a distributor or dealer. Rates may also vary based on the product that is financed.</w:t>
      </w:r>
    </w:p>
    <w:p>
      <w:pPr>
        <w:spacing w:after="0" w:line="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this arrangement with Red Iron for the nine months ended August 2, 2024 and August 4, 2023 were $1,882.3 million and $2,160.8 million, respectively. The total amount of net receivables outstanding under this arrangement with Red Iron as of August 2, 2024, August 4, 2023, and October 31, 2023 were $927.8 million, $1,010.5 million and $1,019.0 million, respectively. The total amount of receivables due from Red Iron to the company as of August 2, 2024, August 4, 2023, and October 31, 2023 were $28.6 million, $30.4 million and $34.4 million, respectively.</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arrangements with HCFC and the other third-party financial institutions for the nine months ended August 2, 2024 and August 4, 2023 were $442.0 million and $367.6 million, respectively. As of August 2, 2024, August 4, 2023, and October 31, 2023, $228.5 million, $187.2 million and $234.7 million, respectively, of receivables financed by HCFC and the other third-party financial institutions were outstanding.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Repurchase Agreements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has entered into a limited inventory repurchase agreement with Red Iron and HCFC under which the company has agreed to repurchase certain repossessed products, up to a maximum aggregate amount of $7.5 million in a calendar year.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Additionally, as a result of the company's floor plan financing agreements with the other third-party financial institutions, the company also entered into inventory repurchase agreements with the other third-party financial institutions. Under such inventory repurchase agreements, the company has agreed to repurchase products repossessed by the other third-party financial institutions. As of August 2, 2024, August 4, 2023 and October 31, 2023, the company was contingently liable to repurchase up to a maximum amount of $30.2 million, $118.8 million, and $32.2 million, respectively, of inventory related to receivables under these inventory repurchase agreements. The company's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The company has repurchased immaterial amounts of inventory pursuant to such arrangements for the nine months ended August 2, 2024 and August 4, 2023.</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Supplier Finance Program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has a supply chain finance service agreement with a third-party financial institution to provide a web-based platform that facilitates the ability of participating suppliers to finance payment obligations from the company with the third-party financial institution. Participating suppliers may, at their sole discretion, make offers to finance one or more payment obligations of the company prior to their scheduled due dates at a discounted price to the third-party financial institution. The company's obligations to its suppliers, including amounts due and scheduled payment dates, are not affected by suppliers' decisions to finance amounts under this supply chain finance arrangement. The company guarantees its payment obligations under the supply chain finance arrangement with the third-party financial institution. The company does not pledge assets as security to the suppliers or the third-party financial institution. As of August 2, 2024, August 4, 2023 and October 31, 2023, $315.3 million, $402.1 million, and $99.6 million, respectively, of the company's outstanding payment obligations were financed by participating suppliers through the third-party financial institution's supply chain finance web-based platform. These obligations are presented within accounts payable in the Condensed Consolidated Balance Sheets.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or employment-related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 position, or cash flows.</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Condensed Consolidated Financial Statements prior to the settlement of the underlying events or contingencies associated with the gain contingency. As a result, the consideration related to a gain contingency is recorded in the Condensed Consolidated Financial Statements during the period in which all underlying events or contingencies are resolved and the gain is realized.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15 </w:t>
      </w:r>
      <w:r>
        <w:rPr>
          <w:rFonts w:ascii="Times New Roman" w:cs="Times New Roman" w:eastAsia="Times New Roman" w:hAnsi="Times New Roman"/>
          <w:sz w:val="18"/>
          <w:szCs w:val="18"/>
          <w:b w:val="1"/>
          <w:bCs w:val="1"/>
          <w:color w:val="auto"/>
        </w:rPr>
        <w:t>Leases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generally includes all non-cancelable periods. Lease expense for the company's operating leases is recognized on a straight-line basis over the lease term and is recorded within cost of sales or selling, general and administrative expense within the Condensed Consolidated Statements of Earnings (Loss)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Lease payments are determined at lease commencement and generally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generally discounted to present value based the estimated incremental borrowing rate at lease commencement as the rate implicit in the lease is generally not readily determinable.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lease expense incurred on the company’s operating, short-term, and variable leases: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4, 2023</w:t>
            </w:r>
          </w:p>
        </w:tc>
      </w:tr>
      <w:tr>
        <w:trPr>
          <w:trHeight w:val="21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7"/>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lease expense</w:t>
            </w:r>
          </w:p>
        </w:tc>
        <w:tc>
          <w:tcPr>
            <w:tcW w:w="194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2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expense</w:t>
            </w:r>
          </w:p>
        </w:tc>
        <w:tc>
          <w:tcPr>
            <w:tcW w:w="1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lease expense</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2"/>
        </w:trPr>
        <w:tc>
          <w:tcPr>
            <w:tcW w:w="34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supplemental cash flow information related to the company's operating leases:</w:t>
      </w:r>
    </w:p>
    <w:p>
      <w:pPr>
        <w:spacing w:after="0" w:line="144"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August 4, 2023</w:t>
            </w:r>
          </w:p>
        </w:tc>
      </w:tr>
      <w:tr>
        <w:trPr>
          <w:trHeight w:val="21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3.5</w:t>
            </w:r>
          </w:p>
        </w:tc>
        <w:tc>
          <w:tcPr>
            <w:tcW w:w="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r>
      <w:tr>
        <w:trPr>
          <w:trHeight w:val="217"/>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Operating cash flows for amounts included in the measurement of lease liabilities</w:t>
            </w: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20.5</w:t>
            </w:r>
          </w:p>
        </w:tc>
        <w:tc>
          <w:tcPr>
            <w:tcW w:w="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other lease information related to the company's operating leases: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40" w:type="dxa"/>
            <w:vAlign w:val="bottom"/>
            <w:tcBorders>
              <w:top w:val="single" w:sz="8" w:color="auto"/>
              <w:bottom w:val="single" w:sz="8" w:color="auto"/>
            </w:tcBorders>
          </w:tcPr>
          <w:p>
            <w:pPr>
              <w:spacing w:after="0"/>
              <w:rPr>
                <w:sz w:val="20"/>
                <w:szCs w:val="20"/>
                <w:color w:val="auto"/>
              </w:rPr>
            </w:pPr>
          </w:p>
        </w:tc>
        <w:tc>
          <w:tcPr>
            <w:tcW w:w="248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78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16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of operating leases in years</w:t>
            </w:r>
          </w:p>
        </w:tc>
        <w:tc>
          <w:tcPr>
            <w:tcW w:w="24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9.0</w:t>
            </w:r>
          </w:p>
        </w:tc>
        <w:tc>
          <w:tcPr>
            <w:tcW w:w="17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9.2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7"/>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of operating leases</w:t>
            </w:r>
          </w:p>
        </w:tc>
        <w:tc>
          <w:tcPr>
            <w:tcW w:w="2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4.93 %</w:t>
            </w:r>
          </w:p>
        </w:tc>
        <w:tc>
          <w:tcPr>
            <w:tcW w:w="1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4.12 %</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4.83 %</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August 2, 2024:</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4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August 2, 2024</w:t>
            </w:r>
          </w:p>
        </w:tc>
      </w:tr>
      <w:tr>
        <w:trPr>
          <w:trHeight w:val="21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(remaining)</w:t>
            </w:r>
          </w:p>
        </w:tc>
        <w:tc>
          <w:tcPr>
            <w:tcW w:w="3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1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7"/>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future minimum operating lease payments</w:t>
            </w:r>
          </w:p>
        </w:tc>
        <w:tc>
          <w:tcPr>
            <w:tcW w:w="3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w:t>
            </w:r>
          </w:p>
        </w:tc>
      </w:tr>
      <w:tr>
        <w:trPr>
          <w:trHeight w:val="217"/>
        </w:trPr>
        <w:tc>
          <w:tcPr>
            <w:tcW w:w="6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3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38"/>
        </w:trPr>
        <w:tc>
          <w:tcPr>
            <w:tcW w:w="6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3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r>
      <w:tr>
        <w:trPr>
          <w:trHeight w:val="20"/>
        </w:trPr>
        <w:tc>
          <w:tcPr>
            <w:tcW w:w="6380" w:type="dxa"/>
            <w:vAlign w:val="bottom"/>
            <w:tcBorders>
              <w:top w:val="single" w:sz="8" w:color="CCEEFF"/>
              <w:bottom w:val="single" w:sz="8" w:color="auto"/>
            </w:tcBorders>
          </w:tcPr>
          <w:p>
            <w:pPr>
              <w:spacing w:after="0" w:line="20" w:lineRule="exact"/>
              <w:rPr>
                <w:sz w:val="1"/>
                <w:szCs w:val="1"/>
                <w:color w:val="auto"/>
              </w:rPr>
            </w:pPr>
          </w:p>
        </w:tc>
        <w:tc>
          <w:tcPr>
            <w:tcW w:w="3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16 </w:t>
      </w:r>
      <w:r>
        <w:rPr>
          <w:rFonts w:ascii="Times New Roman" w:cs="Times New Roman" w:eastAsia="Times New Roman" w:hAnsi="Times New Roman"/>
          <w:sz w:val="18"/>
          <w:szCs w:val="18"/>
          <w:b w:val="1"/>
          <w:bCs w:val="1"/>
          <w:color w:val="auto"/>
        </w:rPr>
        <w:t>Derivative Instruments and Hedging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Objective of Using Derivatives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To reduce its exposure to foreign currency exchange rate risk, the company enters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Hedging Instruments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(Loss)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(Loss) is the same as that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(Loss)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(Loss)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(Loss).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 (Loss).</w:t>
      </w:r>
    </w:p>
    <w:p>
      <w:pPr>
        <w:spacing w:after="0" w:line="75" w:lineRule="exact"/>
        <w:rPr>
          <w:sz w:val="20"/>
          <w:szCs w:val="20"/>
          <w:color w:val="auto"/>
        </w:rPr>
      </w:pPr>
    </w:p>
    <w:p>
      <w:pPr>
        <w:ind w:right="840"/>
        <w:spacing w:after="0" w:line="380" w:lineRule="auto"/>
        <w:rPr>
          <w:sz w:val="20"/>
          <w:szCs w:val="20"/>
          <w:color w:val="auto"/>
        </w:rPr>
      </w:pPr>
      <w:r>
        <w:rPr>
          <w:rFonts w:ascii="Times New Roman" w:cs="Times New Roman" w:eastAsia="Times New Roman" w:hAnsi="Times New Roman"/>
          <w:sz w:val="17"/>
          <w:szCs w:val="17"/>
          <w:color w:val="auto"/>
        </w:rPr>
        <w:t xml:space="preserve">As of August 2, 2024, the notional amount outstanding of forward currency contracts designated as cash flow hedging instruments was $344.9 million. </w:t>
      </w:r>
      <w:r>
        <w:rPr>
          <w:rFonts w:ascii="Times New Roman" w:cs="Times New Roman" w:eastAsia="Times New Roman" w:hAnsi="Times New Roman"/>
          <w:sz w:val="17"/>
          <w:szCs w:val="17"/>
          <w:b w:val="1"/>
          <w:bCs w:val="1"/>
          <w:i w:val="1"/>
          <w:iCs w:val="1"/>
          <w:color w:val="auto"/>
        </w:rPr>
        <w:t>Derivatives Not Designated as Cash Flow Hedging Instruments</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(Loss) together with the transaction gain or loss from the hedged balance sheet position.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fair value and location of the company’s derivative instruments on the Condensed Consolidated Balance Sheets: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8"/>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2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51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assets</w:t>
            </w: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2"/>
        </w:trPr>
        <w:tc>
          <w:tcPr>
            <w:tcW w:w="5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0"/>
        </w:trPr>
        <w:tc>
          <w:tcPr>
            <w:tcW w:w="5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8"/>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51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
        </w:trPr>
        <w:tc>
          <w:tcPr>
            <w:tcW w:w="5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The company records the fair value of its derivative instruments at the net amount on its Condensed Consolidated Balance Sheets.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effects of the master netting arrangements on the fair value of the company’s derivative instruments that are recorded 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6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6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amount of derivative assets</w:t>
            </w:r>
          </w:p>
        </w:tc>
        <w:tc>
          <w:tcPr>
            <w:tcW w:w="1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7"/>
        </w:trPr>
        <w:tc>
          <w:tcPr>
            <w:tcW w:w="4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liabilities offsetting derivative assets</w:t>
            </w:r>
          </w:p>
        </w:tc>
        <w:tc>
          <w:tcPr>
            <w:tcW w:w="16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assets</w:t>
            </w:r>
          </w:p>
        </w:tc>
        <w:tc>
          <w:tcPr>
            <w:tcW w:w="16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47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6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amount of derivative liabilities</w:t>
            </w:r>
          </w:p>
        </w:tc>
        <w:tc>
          <w:tcPr>
            <w:tcW w:w="1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assets offsetting derivative liabilities</w:t>
            </w:r>
          </w:p>
        </w:tc>
        <w:tc>
          <w:tcPr>
            <w:tcW w:w="16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liabilities</w:t>
            </w:r>
          </w:p>
        </w:tc>
        <w:tc>
          <w:tcPr>
            <w:tcW w:w="16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presents the impact and location of the amounts reclassified from AOCL into net earnings on the Condensed Consolidated Statements of Earnings (Loss) and the impact of derivative instruments on the Condensed Consolidated Statements of Comprehensive Income (Loss) for the company's derivatives designated as cash flow hedging instruments for the three and nine months ended August 2, 2024 and August 4,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55"/>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Gain Reclassified from AOCL into</w:t>
            </w:r>
          </w:p>
        </w:tc>
        <w:tc>
          <w:tcPr>
            <w:tcW w:w="220" w:type="dxa"/>
            <w:vAlign w:val="bottom"/>
          </w:tcPr>
          <w:p>
            <w:pPr>
              <w:spacing w:after="0"/>
              <w:rPr>
                <w:sz w:val="13"/>
                <w:szCs w:val="13"/>
                <w:color w:val="auto"/>
              </w:rPr>
            </w:pPr>
          </w:p>
        </w:tc>
        <w:tc>
          <w:tcPr>
            <w:tcW w:w="2780" w:type="dxa"/>
            <w:vAlign w:val="bottom"/>
            <w:gridSpan w:val="3"/>
          </w:tcPr>
          <w:p>
            <w:pPr>
              <w:jc w:val="center"/>
              <w:ind w:right="58"/>
              <w:spacing w:after="0" w:line="155" w:lineRule="exact"/>
              <w:rPr>
                <w:sz w:val="20"/>
                <w:szCs w:val="20"/>
                <w:color w:val="auto"/>
              </w:rPr>
            </w:pPr>
            <w:r>
              <w:rPr>
                <w:rFonts w:ascii="Times New Roman" w:cs="Times New Roman" w:eastAsia="Times New Roman" w:hAnsi="Times New Roman"/>
                <w:sz w:val="16"/>
                <w:szCs w:val="16"/>
                <w:b w:val="1"/>
                <w:bCs w:val="1"/>
                <w:color w:val="auto"/>
              </w:rPr>
              <w:t>(Loss) Gain Recognized in OCI on</w:t>
            </w:r>
          </w:p>
        </w:tc>
      </w:tr>
      <w:tr>
        <w:trPr>
          <w:trHeight w:val="219"/>
        </w:trPr>
        <w:tc>
          <w:tcPr>
            <w:tcW w:w="5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Derivatives</w:t>
            </w:r>
          </w:p>
        </w:tc>
      </w:tr>
      <w:tr>
        <w:trPr>
          <w:trHeight w:val="213"/>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4, 2023</w:t>
            </w:r>
          </w:p>
        </w:tc>
      </w:tr>
      <w:tr>
        <w:trPr>
          <w:trHeight w:val="21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7"/>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7"/>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8"/>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gridSpan w:val="3"/>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497"/>
        </w:trPr>
        <w:tc>
          <w:tcPr>
            <w:tcW w:w="5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738"/>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55"/>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Gain Reclassified from AOCL into</w:t>
            </w:r>
          </w:p>
        </w:tc>
        <w:tc>
          <w:tcPr>
            <w:tcW w:w="220" w:type="dxa"/>
            <w:vAlign w:val="bottom"/>
          </w:tcPr>
          <w:p>
            <w:pPr>
              <w:spacing w:after="0"/>
              <w:rPr>
                <w:sz w:val="13"/>
                <w:szCs w:val="13"/>
                <w:color w:val="auto"/>
              </w:rPr>
            </w:pPr>
          </w:p>
        </w:tc>
        <w:tc>
          <w:tcPr>
            <w:tcW w:w="2780" w:type="dxa"/>
            <w:vAlign w:val="bottom"/>
            <w:gridSpan w:val="3"/>
          </w:tcPr>
          <w:p>
            <w:pPr>
              <w:jc w:val="center"/>
              <w:ind w:right="58"/>
              <w:spacing w:after="0" w:line="155" w:lineRule="exact"/>
              <w:rPr>
                <w:sz w:val="20"/>
                <w:szCs w:val="20"/>
                <w:color w:val="auto"/>
              </w:rPr>
            </w:pPr>
            <w:r>
              <w:rPr>
                <w:rFonts w:ascii="Times New Roman" w:cs="Times New Roman" w:eastAsia="Times New Roman" w:hAnsi="Times New Roman"/>
                <w:sz w:val="16"/>
                <w:szCs w:val="16"/>
                <w:b w:val="1"/>
                <w:bCs w:val="1"/>
                <w:color w:val="auto"/>
              </w:rPr>
              <w:t>(Loss) Gain Recognized in OCI on</w:t>
            </w:r>
          </w:p>
        </w:tc>
      </w:tr>
      <w:tr>
        <w:trPr>
          <w:trHeight w:val="219"/>
        </w:trPr>
        <w:tc>
          <w:tcPr>
            <w:tcW w:w="5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Derivatives</w:t>
            </w:r>
          </w:p>
        </w:tc>
      </w:tr>
      <w:tr>
        <w:trPr>
          <w:trHeight w:val="212"/>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4, 2023</w:t>
            </w:r>
          </w:p>
        </w:tc>
      </w:tr>
      <w:tr>
        <w:trPr>
          <w:trHeight w:val="21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7"/>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7"/>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38"/>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recognized immaterial gains and losses within other income, net in the Condensed Consolidated Statements of Earnings (Loss) during the third quarter and first nine months of fiscal 2024 and fiscal 2023, respectively, due to the discontinuance of cash flow hedge accounting on certain forward currency contracts designated as cash flow hedging instruments. As of August 2, 2024, the company expects to reclassify approximately $2.2 million of losses from AOCL to earnings during the next twelve months.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impact and location of derivative instruments on the Condensed Consolidated Statements of Earnings (Loss) for the company’s derivatives designated as cash flow hedging instruments and the related components excluded from effectiveness testing: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gridSpan w:val="7"/>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Gain (Loss) Recognized in Earnings on Cash Flow Hedging Instruments</w:t>
            </w:r>
          </w:p>
        </w:tc>
        <w:tc>
          <w:tcPr>
            <w:tcW w:w="0" w:type="dxa"/>
            <w:vAlign w:val="bottom"/>
          </w:tcPr>
          <w:p>
            <w:pPr>
              <w:spacing w:after="0"/>
              <w:rPr>
                <w:sz w:val="1"/>
                <w:szCs w:val="1"/>
                <w:color w:val="auto"/>
              </w:rPr>
            </w:pPr>
          </w:p>
        </w:tc>
      </w:tr>
      <w:tr>
        <w:trPr>
          <w:trHeight w:val="21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89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3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87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0" w:type="dxa"/>
            <w:vAlign w:val="bottom"/>
          </w:tcPr>
          <w:p>
            <w:pPr>
              <w:spacing w:after="0"/>
              <w:rPr>
                <w:sz w:val="1"/>
                <w:szCs w:val="1"/>
                <w:color w:val="auto"/>
              </w:rPr>
            </w:pPr>
          </w:p>
        </w:tc>
      </w:tr>
      <w:tr>
        <w:trPr>
          <w:trHeight w:val="153"/>
        </w:trPr>
        <w:tc>
          <w:tcPr>
            <w:tcW w:w="528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6"/>
                <w:szCs w:val="16"/>
                <w:color w:val="auto"/>
              </w:rPr>
              <w:t>Condensed Consolidated Statements of Earnings (Loss) income (expense)</w:t>
            </w:r>
          </w:p>
        </w:tc>
        <w:tc>
          <w:tcPr>
            <w:tcW w:w="2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1,156.9</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1,081.8</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(709.4)</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in which the effects of cash flow hedging instruments are recorded</w:t>
            </w:r>
          </w:p>
        </w:tc>
        <w:tc>
          <w:tcPr>
            <w:tcW w:w="2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Gain (loss) on derivatives designated as cash flow hedging instruments: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of gain reclassified from AOCL into earnings</w:t>
            </w:r>
          </w:p>
        </w:tc>
        <w:tc>
          <w:tcPr>
            <w:tcW w:w="24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8"/>
                <w:szCs w:val="18"/>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0.6</w:t>
            </w:r>
          </w:p>
        </w:tc>
        <w:tc>
          <w:tcPr>
            <w:tcW w:w="300" w:type="dxa"/>
            <w:vAlign w:val="bottom"/>
          </w:tcPr>
          <w:p>
            <w:pPr>
              <w:spacing w:after="0"/>
              <w:rPr>
                <w:sz w:val="18"/>
                <w:szCs w:val="18"/>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Gain (loss) on components excluded from effectiveness testing recognized</w:t>
            </w:r>
          </w:p>
        </w:tc>
        <w:tc>
          <w:tcPr>
            <w:tcW w:w="2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5"/>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 earnings based on changes in fair value</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740" w:type="dxa"/>
            <w:vAlign w:val="bottom"/>
            <w:tcBorders>
              <w:bottom w:val="single" w:sz="8" w:color="auto"/>
            </w:tcBorders>
            <w:gridSpan w:val="7"/>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Gain (Loss) Recognized in Earnings on Cash Flow Hedging Instruments</w:t>
            </w:r>
          </w:p>
        </w:tc>
        <w:tc>
          <w:tcPr>
            <w:tcW w:w="0" w:type="dxa"/>
            <w:vAlign w:val="bottom"/>
          </w:tcPr>
          <w:p>
            <w:pPr>
              <w:spacing w:after="0"/>
              <w:rPr>
                <w:sz w:val="1"/>
                <w:szCs w:val="1"/>
                <w:color w:val="auto"/>
              </w:rPr>
            </w:pPr>
          </w:p>
        </w:tc>
      </w:tr>
      <w:tr>
        <w:trPr>
          <w:trHeight w:val="219"/>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89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3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87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0" w:type="dxa"/>
            <w:vAlign w:val="bottom"/>
          </w:tcPr>
          <w:p>
            <w:pPr>
              <w:spacing w:after="0"/>
              <w:rPr>
                <w:sz w:val="1"/>
                <w:szCs w:val="1"/>
                <w:color w:val="auto"/>
              </w:rPr>
            </w:pPr>
          </w:p>
        </w:tc>
      </w:tr>
      <w:tr>
        <w:trPr>
          <w:trHeight w:val="149"/>
        </w:trPr>
        <w:tc>
          <w:tcPr>
            <w:tcW w:w="52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6"/>
                <w:szCs w:val="16"/>
                <w:color w:val="auto"/>
              </w:rPr>
              <w:t>Condensed Consolidated Statements of Earnings (Loss) income (expense)</w:t>
            </w:r>
          </w:p>
        </w:tc>
        <w:tc>
          <w:tcPr>
            <w:tcW w:w="2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3,507.8</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(2,307.5)</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3,570.0</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(2,322.0)</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in which the effects of cash flow hedging instruments are recorded</w:t>
            </w:r>
          </w:p>
        </w:tc>
        <w:tc>
          <w:tcPr>
            <w:tcW w:w="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Gain on derivatives designated as cash flow hedging instruments: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of gain reclassified from AOCL into earnings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tcPr>
          <w:p>
            <w:pPr>
              <w:spacing w:after="0"/>
              <w:rPr>
                <w:sz w:val="18"/>
                <w:szCs w:val="18"/>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3.3</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58"/>
        </w:trPr>
        <w:tc>
          <w:tcPr>
            <w:tcW w:w="5260" w:type="dxa"/>
            <w:vAlign w:val="bottom"/>
            <w:shd w:val="clear" w:color="auto" w:fill="CCEEFF"/>
          </w:tcPr>
          <w:p>
            <w:pPr>
              <w:ind w:left="220"/>
              <w:spacing w:after="0" w:line="158" w:lineRule="exact"/>
              <w:rPr>
                <w:sz w:val="20"/>
                <w:szCs w:val="20"/>
                <w:color w:val="auto"/>
              </w:rPr>
            </w:pPr>
            <w:r>
              <w:rPr>
                <w:rFonts w:ascii="Times New Roman" w:cs="Times New Roman" w:eastAsia="Times New Roman" w:hAnsi="Times New Roman"/>
                <w:sz w:val="16"/>
                <w:szCs w:val="16"/>
                <w:color w:val="auto"/>
              </w:rPr>
              <w:t>Gain on components excluded from effectiveness testing recognized in</w:t>
            </w:r>
          </w:p>
        </w:tc>
        <w:tc>
          <w:tcPr>
            <w:tcW w:w="2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2.6</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7"/>
        </w:trPr>
        <w:tc>
          <w:tcPr>
            <w:tcW w:w="52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earnings based on changes in fair value</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impact and location of derivative instruments on the Condensed Consolidated Statements of Earnings (Loss) for the company’s derivatives not designated as cash flow hedging instruments: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4, 2023</w:t>
            </w:r>
          </w:p>
        </w:tc>
      </w:tr>
      <w:tr>
        <w:trPr>
          <w:trHeight w:val="214"/>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Loss on derivatives not designated as cash flow hedging instruments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7"/>
        </w:trPr>
        <w:tc>
          <w:tcPr>
            <w:tcW w:w="5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50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loss, net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loss on derivatives not designated as cash flow hedging instruments</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17 </w:t>
      </w:r>
      <w:r>
        <w:rPr>
          <w:rFonts w:ascii="Times New Roman" w:cs="Times New Roman" w:eastAsia="Times New Roman" w:hAnsi="Times New Roman"/>
          <w:sz w:val="18"/>
          <w:szCs w:val="18"/>
          <w:b w:val="1"/>
          <w:bCs w:val="1"/>
          <w:color w:val="auto"/>
        </w:rPr>
        <w:t>Fair Value Measurements</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1</w:t>
      </w:r>
      <w:r>
        <w:rPr>
          <w:rFonts w:ascii="Times New Roman" w:cs="Times New Roman" w:eastAsia="Times New Roman" w:hAnsi="Times New Roman"/>
          <w:sz w:val="17"/>
          <w:szCs w:val="17"/>
          <w:color w:val="auto"/>
        </w:rPr>
        <w:t>: Unadjusted quoted prices in active markets for identical assets or liabilities.</w:t>
      </w:r>
    </w:p>
    <w:p>
      <w:pPr>
        <w:spacing w:after="0" w:line="115"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17"/>
          <w:szCs w:val="17"/>
          <w:b w:val="1"/>
          <w:bCs w:val="1"/>
          <w:color w:val="auto"/>
        </w:rPr>
        <w:t>Level 2</w:t>
      </w:r>
      <w:r>
        <w:rPr>
          <w:rFonts w:ascii="Times New Roman" w:cs="Times New Roman" w:eastAsia="Times New Roman" w:hAnsi="Times New Roman"/>
          <w:sz w:val="17"/>
          <w:szCs w:val="17"/>
          <w:color w:val="auto"/>
        </w:rPr>
        <w:t>: Observable inputs other than Level 1 prices, such as quoted prices for similar assets or liabilities in active markets; quoted prices for identical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assets or liabilities in markets that are not active; or other inputs that are observable or can be corroborated by observable market data for substantially the full term of the assets or liabilities.</w:t>
      </w:r>
    </w:p>
    <w:p>
      <w:pPr>
        <w:spacing w:after="0" w:line="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3</w:t>
      </w:r>
      <w:r>
        <w:rPr>
          <w:rFonts w:ascii="Times New Roman" w:cs="Times New Roman" w:eastAsia="Times New Roman" w:hAnsi="Times New Roman"/>
          <w:sz w:val="17"/>
          <w:szCs w:val="17"/>
          <w:color w:val="auto"/>
        </w:rPr>
        <w:t>: Unobservable inputs reflecting management’s assumptions about the inputs used in pricing the asset or liability.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tables present, by level within the fair value hierarchy, the company's financial assets and liabilities that are measured at fair value on a recurring basis as of August 2, 2024, August 4, 2023, and October 31, 2023, according to the valuation technique utilized to determine their fair values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4121150</wp:posOffset>
            </wp:positionH>
            <wp:positionV relativeFrom="paragraph">
              <wp:posOffset>57150</wp:posOffset>
            </wp:positionV>
            <wp:extent cx="30194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19425" cy="8255"/>
                    </a:xfrm>
                    <a:prstGeom prst="rect">
                      <a:avLst/>
                    </a:prstGeom>
                    <a:noFill/>
                  </pic:spPr>
                </pic:pic>
              </a:graphicData>
            </a:graphic>
          </wp:anchor>
        </w:drawing>
      </w:r>
    </w:p>
    <w:p>
      <w:pPr>
        <w:spacing w:after="0" w:line="70"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7"/>
        </w:trPr>
        <w:tc>
          <w:tcPr>
            <w:tcW w:w="3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4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2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2.1</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4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2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2.1</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34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2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7"/>
        </w:trPr>
        <w:tc>
          <w:tcPr>
            <w:tcW w:w="3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4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2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64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2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4121150</wp:posOffset>
            </wp:positionH>
            <wp:positionV relativeFrom="paragraph">
              <wp:posOffset>147955</wp:posOffset>
            </wp:positionV>
            <wp:extent cx="30194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19425" cy="8255"/>
                    </a:xfrm>
                    <a:prstGeom prst="rect">
                      <a:avLst/>
                    </a:prstGeom>
                    <a:noFill/>
                  </pic:spPr>
                </pic:pic>
              </a:graphicData>
            </a:graphic>
          </wp:anchor>
        </w:drawing>
      </w:r>
    </w:p>
    <w:p>
      <w:pPr>
        <w:spacing w:after="0" w:line="2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7"/>
        </w:trPr>
        <w:tc>
          <w:tcPr>
            <w:tcW w:w="3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0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2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13.8</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2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13.8</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34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2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7"/>
        </w:trPr>
        <w:tc>
          <w:tcPr>
            <w:tcW w:w="3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0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2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60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2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4121150</wp:posOffset>
            </wp:positionH>
            <wp:positionV relativeFrom="paragraph">
              <wp:posOffset>131445</wp:posOffset>
            </wp:positionV>
            <wp:extent cx="30194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19425" cy="8255"/>
                    </a:xfrm>
                    <a:prstGeom prst="rect">
                      <a:avLst/>
                    </a:prstGeom>
                    <a:noFill/>
                  </pic:spPr>
                </pic:pic>
              </a:graphicData>
            </a:graphic>
          </wp:anchor>
        </w:drawing>
      </w:r>
    </w:p>
    <w:p>
      <w:pPr>
        <w:spacing w:after="0" w:line="18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2023</w:t>
            </w: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7"/>
        </w:trPr>
        <w:tc>
          <w:tcPr>
            <w:tcW w:w="3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0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2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16.8</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2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16.8</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34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2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7"/>
        </w:trPr>
        <w:tc>
          <w:tcPr>
            <w:tcW w:w="3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0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60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Nonrecurring Fair Value Measurements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For additional information regarding impairment related fair value measurements, refer to Note 5, </w:t>
      </w:r>
      <w:r>
        <w:rPr>
          <w:rFonts w:ascii="Times New Roman" w:cs="Times New Roman" w:eastAsia="Times New Roman" w:hAnsi="Times New Roman"/>
          <w:sz w:val="17"/>
          <w:szCs w:val="17"/>
          <w:i w:val="1"/>
          <w:iCs w:val="1"/>
          <w:color w:val="auto"/>
        </w:rPr>
        <w:t>Goodwill and Other Intangible Assets, Net.</w:t>
      </w:r>
      <w:r>
        <w:rPr>
          <w:rFonts w:ascii="Times New Roman" w:cs="Times New Roman" w:eastAsia="Times New Roman" w:hAnsi="Times New Roman"/>
          <w:sz w:val="17"/>
          <w:szCs w:val="17"/>
          <w:color w:val="auto"/>
        </w:rPr>
        <w:t xml:space="preserve"> Assets acquired and liabilities assumed as part of a business combination are also measured at fair value on a non-recurring basis during the measurement period allowed by the accounting standards codification guidance for business combinations when applicable. Alternatively,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under a cost accumulation model, the company measures the fair values of net assets acquired as part of an asset acquisition before allocating the cost of the asset acquisition to the net assets acquired on the basis of their relative fair values. For additional information on the company's business combination and the related non-recurring fair value measurement of the assets acquired and liabilities assumed, refer to Note 2, </w:t>
      </w:r>
      <w:r>
        <w:rPr>
          <w:rFonts w:ascii="Times New Roman" w:cs="Times New Roman" w:eastAsia="Times New Roman" w:hAnsi="Times New Roman"/>
          <w:sz w:val="17"/>
          <w:szCs w:val="17"/>
          <w:i w:val="1"/>
          <w:iCs w:val="1"/>
          <w:color w:val="auto"/>
        </w:rPr>
        <w:t>Acquisitions and Divestitures.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Fair Value Disclosures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 As of August 2, 2024, August 4, 2023, and October 31, 2023, the company's long-term debt included $524.2 million, $524.1 million, and $524.2 million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August 2, 2024, the estimated gross fair value of long-term debt with fixed interest rates was $532.8 million compared to its gross carrying amount of $524.2 million. As of August 4, 2023, the estimated gross fair value of long-term debt with fixed interest rates was $497.7 million compared to its gross carrying amount of $524.1 million. As of October 31, 2023, the estimated gross fair value of long-term debt with fixed interest rates was $478.2 million compared to its gross carrying amount of $524.2 million. For additional information regarding long-term debt with fixed interest rates, refer to Note 6, </w:t>
      </w:r>
      <w:r>
        <w:rPr>
          <w:rFonts w:ascii="Times New Roman" w:cs="Times New Roman" w:eastAsia="Times New Roman" w:hAnsi="Times New Roman"/>
          <w:sz w:val="17"/>
          <w:szCs w:val="17"/>
          <w:i w:val="1"/>
          <w:iCs w:val="1"/>
          <w:color w:val="auto"/>
        </w:rPr>
        <w:t>Indebtedness.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18 </w:t>
      </w:r>
      <w:r>
        <w:rPr>
          <w:rFonts w:ascii="Times New Roman" w:cs="Times New Roman" w:eastAsia="Times New Roman" w:hAnsi="Times New Roman"/>
          <w:sz w:val="18"/>
          <w:szCs w:val="18"/>
          <w:b w:val="1"/>
          <w:bCs w:val="1"/>
          <w:color w:val="auto"/>
        </w:rPr>
        <w:t>Subsequent Events</w:t>
      </w:r>
    </w:p>
    <w:p>
      <w:pPr>
        <w:spacing w:after="0" w:line="12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("MD&amp;A") is intended to provide a reader of our Condensed Consolidated Financial Statements with a narrative from the perspective of management on our financial condition, results of operations, liquidity, and certain other factors that may affect our future results. Unless the context indicates otherwise, the terms "company," "TTC," "we," "our," or "us" refer to The Toro Company and its consolidated subsidiaries. This MD&amp;A should be read in conjunction with the MD&amp;A included in Part II, Item 7 of our Annual Report on Form 10-K for the fiscal year ended October 31, 2023. Unless expressly stated otherwise, the comparisons presented in this MD&amp;A refer to the same period in the prior fiscal year. Our MD&amp;A is presented as follows:</w:t>
      </w:r>
    </w:p>
    <w:p>
      <w:pPr>
        <w:spacing w:after="0" w:line="73" w:lineRule="exact"/>
        <w:rPr>
          <w:sz w:val="20"/>
          <w:szCs w:val="20"/>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Overview</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Segments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Position</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Financial Measures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Critical Accounting Policies and Estimates</w:t>
      </w:r>
    </w:p>
    <w:p>
      <w:pPr>
        <w:spacing w:after="0" w:line="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This discussion contains various "forward-looking statements" within the meaning of the Private Securities Litigation Reform Act of 1995 and we refer readers to the section titled "Cautionary Note Regarding Forward-Looking Statements" located at the beginning of this Quarterly Report on Form 10-Q for more information.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Throughout this MD&amp;A, we have provided financial and liquidity measures that are not calculated or presented in accordance with United States ("U.S.") generally accepted accounting principles ("GAAP") ("non-GAAP financial measures," "adjusted" before specified financial measures, and "non-GAAP liquidity measures"), as information supplemental and in addition to the most directly comparable financial measures presented in this Quarterly Report on Form 10-Q that are calculated and presented in accordance with U.S. GAAP.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 within this MD&amp;A.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Our purpose is to help our customers enrich the beauty, productivity, and sustainability of the land. Sustainability is integrated into our enterprise strategic priorities of accelerating profitable growth, driving productivity and operational excellence, and empowering our people. Our focus on alternative power, smart connected, and autonomous solutions, as well as our continued efforts to address sustainability-focused matters, including environmental, social, and governance priorities, are disclosed in our most recent Sustainability Report.</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sell our products worldwide through a network of distributors, dealers, mass retailers, hardware retailers, equipment rental centers, and home centers, as well as online and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 We classify our operations into two reportable business segments: Professional and Residential. Our remaining activities are presented as "Other" due to their insignificance, as described in greater detail within the section titled "Business Segments" in this MD&amp;A.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Macroeconomic Driven Caution</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As summer progressed, we saw macroeconomic factors drive more caution from homeowners and dealers than originally anticipated. These factors included general consumer uncertainty, continued high interest rates, and the current geopolitical environment. This uptick in caution resulted in trade-down activity and purchase deferrals, which led to lower-than-expected shipments of Residential and Professional segment lawn care products during July. Continued macroeconomic driven caution could cause adverse effect on our results of operations, financial position, or cash flows.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Productivity Initiative</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first quarter of fiscal 2024, we announced our AMP initiative, which is a multi-year initiative intended to result in annualized cost savings of at least $100 million by fiscal 2027, driven by sustainable supply-base, design-to-value, and route-to-market transformation. We intend to reinvest a portion of the savings from this initiative to further accelerate innovation and long-term growth.</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2023 Impairment</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At the end of the third quarter of fiscal 2023, we recorded an impairment charge of $18.0 million related to the indefinite-lived Spartan trade name intangible asset reported under the Professional segment. Further, during the same period, we recorded an impairment charge of $133.3 million related to goodwill of the Intimidator reporting unit also reported under the Professional segment. Subsequent to these impairment charges, the remaining balance of the indefinite-lived Spartan trade name intangible asset is $81.1 million and the remaining balance of goodwill for the Intimidator reporting unit is $30.5 million. These impairment charges are included in the Non-cash impairment charges caption on the Condensed Consolidated Statements of Earnings (Loss). These impairment charges resulted in a $36.7 million income tax benefit (deferred tax asset) associated with the remaining tax deductible basis in goodwill and other intangible assets.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Consolidated net sales for the third quarter of fiscal 2024 were $1,156.9 million, up 6.9 percent compared to $1,081.8 million in the third quarter of fiscal 2023. For the first nine months of fiscal 2024, consolidated net sales were $3,507.8 million, down 1.7 percent compared to $3,570.0 million from the same period in the prior fiscal year.</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Professional segment net sales for the third quarter of fiscal 2024 were $880.9 million, a decrease of 1.7 percent compared to $896.3 million in the third quarter of the prior fiscal year. For the first nine months of fiscal 2024, Professional segment net sales were $2,643.0 million, a decrease of 7.1 percent compared to $2,845.7 million in the prior fiscal year comparable period.</w:t>
      </w:r>
    </w:p>
    <w:p>
      <w:pPr>
        <w:spacing w:after="0" w:line="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Residential segment net sales for the third quarter of fiscal 2024 were $267.5 million, an increase of 52.6 percent compared to $175.3 million in the third quarter of the prior fiscal year. For the first nine months of fiscal 2024, Residential segment net sales were $843.2 million, an increase of 19.5 percent compared to $705.8 million in the prior fiscal year comparable period.</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earnings for the third quarter of fiscal 2024 were $119.3 million, or $1.14 per diluted share, compared to a net loss of $15.0 million, or $0.14 net loss per diluted share, for the third quarter of fiscal 2023. Net earnings for the first nine months of fiscal 2024 were $329.0 million, or $3.14 per diluted share, compared to $259.4 million, or $2.46 per diluted share, in the comparable fiscal 2023 period.</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Adjusted net earnings for the third quarter of fiscal 2024 were $123.7 million, or $1.18 per diluted share, compared to $99.4 million, or $0.95 per diluted share, for the third quarter of fiscal 2023. Adjusted net earnings for the first nine months of fiscal 2024 were $337.5 million, or $3.22 per diluted share, compared to $369.4 million, or $3.50 per diluted share, in the comparable fiscal 2023 period.</w:t>
      </w:r>
    </w:p>
    <w:p>
      <w:pPr>
        <w:spacing w:after="0" w:line="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continued our history of paying quarterly cash dividends and increased our cash dividend for the third quarter of fiscal 2024 by 5.9 percent to $0.36 per share compared to $0.34 per share paid in the third quarter of fiscal 2023. We also repurchased shares of our common stock under our Board authorized repurchase program, thereby reducing our total shares outstanding. As a result of the combination of quarterly cash dividends and share repurchases, we returned $221.8 million of cash to our shareholders during the first nine months of fiscal 2024.</w:t>
      </w:r>
    </w:p>
    <w:p>
      <w:pPr>
        <w:spacing w:after="0" w:line="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Field inventory levels were slightly higher as of the end of the third quarter of fiscal 2024 compared to the end of the third quarter of fiscal 2023, primarily due to increased shipments of lawn care equipment to our mass channel partners and increased shipments of construction and golf and grounds products driven by improved manufacturing output, partially offset by significant reductions of dealer field inventories of lawn care equipment in both the Professional and Residential segments.</w:t>
      </w:r>
    </w:p>
    <w:p>
      <w:pPr>
        <w:spacing w:after="0" w:line="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order backlog represents unfulfilled customer orders at a point in time. Our order backlog (including shipments beyond 12 months) was lower as of the end of the third quarter of fiscal 2024 compared to the end of the fourth quarter of fiscal 2023 primarily due to improved manufacturing output. Our order backlog remains significantly elevated over what the company would consider normal, due to demand for underground construction and golf and grounds products continuing to outpace production of such products.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Consolidated net sales for the third quarter of fiscal 2024 were $1,156.9 million, up 6.9 percent compared to $1,081.8 million in the third quarter of fiscal 2023. This increase was primarily driven by higher shipments of Residential segment products and net price realization, partially offset by lower shipments of Professional segment products. For the year-to-date period of fiscal 2024, consolidated net sales were $3,507.8 million, down 1.7 percent compared to $3,570.0 million from the same period in the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prior fiscal year. This decrease was primarily driven by lower shipments of Professional segment products, partially offset by higher shipments of Residential segment products.</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Net sales in international markets decreased by $16.8 million and $65.3 million for the third quarter and year-to-date periods of fiscal 2024, respectively. The decreases for the third quarter and year-to date comparisons were primarily due to lower shipments of both Residential and Professional segment products.</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Changes in foreign currency exchange rates resulted in a decrease in our net sales of approximately $0.5 million and $7.3 million for the third quarter and year-to-date periods of fiscal 2024, respectively.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as a percentage of consolidated net sales: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4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2"/>
          </w:tcPr>
          <w:p>
            <w:pPr>
              <w:jc w:val="right"/>
              <w:ind w:right="8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20" w:type="dxa"/>
            <w:vAlign w:val="bottom"/>
            <w:tcBorders>
              <w:bottom w:val="single" w:sz="8" w:color="auto"/>
            </w:tcBorders>
            <w:gridSpan w:val="2"/>
          </w:tcPr>
          <w:p>
            <w:pPr>
              <w:jc w:val="right"/>
              <w:ind w:right="75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40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58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158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4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August 4, 2023</w:t>
            </w:r>
          </w:p>
        </w:tc>
      </w:tr>
      <w:tr>
        <w:trPr>
          <w:trHeight w:val="21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6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100.0 %</w:t>
            </w:r>
          </w:p>
        </w:tc>
        <w:tc>
          <w:tcPr>
            <w:tcW w:w="1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100.0 %</w:t>
            </w:r>
          </w:p>
        </w:tc>
        <w:tc>
          <w:tcPr>
            <w:tcW w:w="15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100.0 %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7"/>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6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(65.2)</w:t>
            </w:r>
          </w:p>
        </w:tc>
        <w:tc>
          <w:tcPr>
            <w:tcW w:w="15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(65.6)</w:t>
            </w:r>
          </w:p>
        </w:tc>
        <w:tc>
          <w:tcPr>
            <w:tcW w:w="15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(65.8)</w:t>
            </w:r>
          </w:p>
        </w:tc>
        <w:tc>
          <w:tcPr>
            <w:tcW w:w="14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(65.0)</w:t>
            </w: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0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34.8</w:t>
            </w:r>
          </w:p>
        </w:tc>
        <w:tc>
          <w:tcPr>
            <w:tcW w:w="158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34.4</w:t>
            </w:r>
          </w:p>
        </w:tc>
        <w:tc>
          <w:tcPr>
            <w:tcW w:w="158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34.2</w:t>
            </w:r>
          </w:p>
        </w:tc>
        <w:tc>
          <w:tcPr>
            <w:tcW w:w="14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35.0</w:t>
            </w:r>
          </w:p>
        </w:tc>
      </w:tr>
      <w:tr>
        <w:trPr>
          <w:trHeight w:val="21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6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rPr>
              <w:t>(22.0)</w:t>
            </w:r>
          </w:p>
        </w:tc>
        <w:tc>
          <w:tcPr>
            <w:tcW w:w="158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rPr>
              <w:t>(22.2)</w:t>
            </w:r>
          </w:p>
        </w:tc>
        <w:tc>
          <w:tcPr>
            <w:tcW w:w="158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rPr>
              <w:t>(22.1)</w:t>
            </w:r>
          </w:p>
        </w:tc>
        <w:tc>
          <w:tcPr>
            <w:tcW w:w="14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(21.3)</w:t>
            </w:r>
          </w:p>
        </w:tc>
      </w:tr>
      <w:tr>
        <w:trPr>
          <w:trHeight w:val="220"/>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impairment charges</w:t>
            </w:r>
          </w:p>
        </w:tc>
        <w:tc>
          <w:tcPr>
            <w:tcW w:w="2600" w:type="dxa"/>
            <w:vAlign w:val="bottom"/>
            <w:tcBorders>
              <w:bottom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rPr>
              <w:t>(14.0)</w:t>
            </w:r>
          </w:p>
        </w:tc>
        <w:tc>
          <w:tcPr>
            <w:tcW w:w="1580" w:type="dxa"/>
            <w:vAlign w:val="bottom"/>
            <w:tcBorders>
              <w:bottom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earnings (loss)</w:t>
            </w:r>
          </w:p>
        </w:tc>
        <w:tc>
          <w:tcPr>
            <w:tcW w:w="26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12.8</w:t>
            </w:r>
          </w:p>
        </w:tc>
        <w:tc>
          <w:tcPr>
            <w:tcW w:w="158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rPr>
              <w:t>(1.8)</w:t>
            </w:r>
          </w:p>
        </w:tc>
        <w:tc>
          <w:tcPr>
            <w:tcW w:w="158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12.1</w:t>
            </w:r>
          </w:p>
        </w:tc>
        <w:tc>
          <w:tcPr>
            <w:tcW w:w="14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9.4</w:t>
            </w: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(1.3)</w:t>
            </w:r>
          </w:p>
        </w:tc>
        <w:tc>
          <w:tcPr>
            <w:tcW w:w="15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rPr>
              <w:t>(1.4)</w:t>
            </w:r>
          </w:p>
        </w:tc>
        <w:tc>
          <w:tcPr>
            <w:tcW w:w="15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rPr>
              <w:t>(1.4)</w:t>
            </w:r>
          </w:p>
        </w:tc>
        <w:tc>
          <w:tcPr>
            <w:tcW w:w="14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(1.2)</w:t>
            </w:r>
          </w:p>
        </w:tc>
      </w:tr>
      <w:tr>
        <w:trPr>
          <w:trHeight w:val="217"/>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6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color w:val="auto"/>
              </w:rPr>
              <w:t>0.9</w:t>
            </w:r>
          </w:p>
        </w:tc>
        <w:tc>
          <w:tcPr>
            <w:tcW w:w="15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rPr>
              <w:t>0.6</w:t>
            </w:r>
          </w:p>
        </w:tc>
        <w:tc>
          <w:tcPr>
            <w:tcW w:w="15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rPr>
              <w:t>0.8</w:t>
            </w:r>
          </w:p>
        </w:tc>
        <w:tc>
          <w:tcPr>
            <w:tcW w:w="14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0.6</w:t>
            </w: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260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12.5</w:t>
            </w:r>
          </w:p>
        </w:tc>
        <w:tc>
          <w:tcPr>
            <w:tcW w:w="15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rPr>
              <w:t>(2.6)</w:t>
            </w:r>
          </w:p>
        </w:tc>
        <w:tc>
          <w:tcPr>
            <w:tcW w:w="158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11.5</w:t>
            </w:r>
          </w:p>
        </w:tc>
        <w:tc>
          <w:tcPr>
            <w:tcW w:w="14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8.8</w:t>
            </w:r>
          </w:p>
        </w:tc>
      </w:tr>
      <w:tr>
        <w:trPr>
          <w:trHeight w:val="217"/>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6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(2.2)</w:t>
            </w:r>
          </w:p>
        </w:tc>
        <w:tc>
          <w:tcPr>
            <w:tcW w:w="15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rPr>
              <w:t>1.2</w:t>
            </w:r>
          </w:p>
        </w:tc>
        <w:tc>
          <w:tcPr>
            <w:tcW w:w="15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(2.1)</w:t>
            </w:r>
          </w:p>
        </w:tc>
        <w:tc>
          <w:tcPr>
            <w:tcW w:w="14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(1.5)</w:t>
            </w:r>
          </w:p>
        </w:tc>
      </w:tr>
      <w:tr>
        <w:trPr>
          <w:trHeight w:val="238"/>
        </w:trPr>
        <w:tc>
          <w:tcPr>
            <w:tcW w:w="40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earnings (loss)</w:t>
            </w:r>
          </w:p>
        </w:tc>
        <w:tc>
          <w:tcPr>
            <w:tcW w:w="260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10.3 %</w:t>
            </w:r>
          </w:p>
        </w:tc>
        <w:tc>
          <w:tcPr>
            <w:tcW w:w="15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(1.4)%</w:t>
            </w:r>
          </w:p>
        </w:tc>
        <w:tc>
          <w:tcPr>
            <w:tcW w:w="158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9.4 %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 and Gross Margin</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Gross profit for the third quarter of fiscal 2024 was $402.8 million, up 8.2 percent compared to $372.4 million for the third quarter of fiscal 2023. Gross margin was 34.8 percent for the third quarter of fiscal 2024 compared to 34.4 percent for the third quarter of fiscal 2023, an increase of 40 basis points. The increase in gross margin for the third quarter comparison was primarily due to productivity improvements and net price realization, partially offset by higher material and manufacturing costs and product mix.</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Gross profit for the year-to-date period of fiscal 2024 was $1,200.3 million, down 3.8 percent compared to $1,248.0 million for the same period of fiscal 2023. Gross margin was 34.2 percent for the year-to-date period of fiscal 2024 compared to 35.0 percent for the prior year comparable period, a decrease of 80 basis points. The decrease in gross margin for the year-to-date comparison was primarily due to higher material and manufacturing costs and product mix, partially offset by productivity improvements.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("SG&amp;A") Expense</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SG&amp;A expense increased $14.5 million, or 6.0 percent, for the third quarter of fiscal 2024 and increased $15.4 million, or 2.0 percent, for the year-to-date period of fiscal 2024 compared to the same respective periods of fiscal 2023. As a percentage of net sales, SG&amp;A expense decreased 20 basis points for the third quarter of fiscal 2024 and increased 80 basis points for the year-to-date period of fiscal 2024, respectively, compared to the same respective periods of fiscal 2023. The decrease in SG&amp;A expense as a percentage of net sales for the third quarter comparison was primarily due to net sales leverage and lower marketing costs, partially offset by higher incentive expenses. The increase in SG&amp;A expense as a percentage of net sales for the year-to-date comparison was primarily due to lower net sales volume and higher incentive expenses, partially offset by lower marketing costs.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Non-Cash Impairment Charges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recorded non-cash impairment charges of $151.3 million within our Professional segment related to Intimidator in the third quarter and year-to-date period of fiscal 2023. No impairment charges were recognized in the third quarter or year-to-date period of fiscal 2024.</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expense decreased $0.5 million and increased $3.6 million for the third quarter and year-to-date periods of fiscal 2024, respectively, compared to the same respective periods of fiscal 2023. The decrease in interest expense for the third quarter comparison was primarily due to lower average outstanding borrowings. The increase in interest expense for the year-to-date comparison was primarily due to higher average interest rates.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Net</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income, net increased $5.1 million and $5.3 million for the third quarter and year-to-date periods of fiscal 2024, respectively, compared to the same respective periods of fiscal 2023. The increase in other income, net for the third quarter comparison was primarily due to a net gain on divestiture. The increase in other income, net for the year-to-date comparison was primarily due to net gains on divestitures and higher income from our Red Iron join venture.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 Provision (Benefit)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effective tax rate for the third quarter of fiscal 2024 was 17.3 percent compared to 47.6 percent in the third quarter of fiscal 2023, primarily due to the prior year tax impact from non-cash impairment charges and a more favorable geographic mix of earnings in the current fiscal year period. The effective tax rate for the year-to-date period of fiscal 2024 was 18.5 percent compared to 17.3 percent in the same period of fiscal 2023, primarily due to the prior year tax impact from non-cash impairment charges and lower tax benefits recorded as excess tax deductions for stock-based compensation in the current fiscal year period, partially offset by a more favorable geographic mix of earnings in the current fiscal year period. The adjusted effective tax rate for the third quarter of fiscal 2024 was 18.0 percent, compared to an adjusted effective tax rate of 19.0 percent in the third quarter of fiscal 2023, primarily driven by a more favorable geographic mix of earnings. The adjusted effective tax rate for the year-to-date period of fiscal 2024 was 19.3 percent, compared to 20.6 percent in the same period of fiscal 2023, primarily driven by a more favorable geographic mix of earnings.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Earnings (Loss)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Net earnings for the third quarter of fiscal 2024 were $119.3 million, or $1.14 per diluted share, compared to a net loss of $15.0 million, or $0.14 net loss per diluted share, for the third quarter of fiscal 2023. Adjusted net earnings for the third quarter of fiscal 2024 were $123.7 million, or $1.18 per diluted share, compared to $99.4 million, or $0.95 per diluted share, for the third quarter of fiscal 2023, an increase of 24.2 percent per diluted share. Net earnings for the first nine months of fiscal 2024 were $329.0 million, or $3.14 per diluted share, compared to $259.4 million, or $2.46 per diluted share, for the same period of fiscal 2023. Adjusted net earnings for the first nine months of fiscal 2024 were $337.5 million, or $3.22 per diluted share, compared to $369.4 million, or $3.50 per diluted share, for the same year-to-date period of fiscal 2023, a decrease of 8.0 percent per diluted share. The increase in net earnings per diluted share for the third quarter comparison was primarily due to the prior year non-cash impairment charges and higher Residential segment earnings in the current fiscal year period. The increase in net earnings per diluted share for the year-to-date comparison was primarily due to the prior year non-cash impairment charges and higher Residential segment earnings in the current fiscal year period, partially offset by lower Professional segment earnings in the current fiscal year period.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operate in two reportable business segments: Professional and Residential. Segment earnings for our Professional and Residential segments are defined as earnings from operations plus other income, net. Our remaining activities are presented as "Other" due to their insignificance. Operating loss for our Other activities included earnings (loss) from our wholly-owned domestic distribution company, Red Iron joint venture, corporate activities, other income, and interest expense. Corporate activities include general corporate expenditures, such as finance, human resources, legal, information services, public relations, and similar activities, as well as other unallocated corporate assets and liabilities, such as corporate facilities and deferred tax assets and liabilities. The following tables summarize net sales for our reportable business segments and Other activities: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580" w:type="dxa"/>
            <w:vAlign w:val="bottom"/>
          </w:tcPr>
          <w:p>
            <w:pPr>
              <w:spacing w:after="0"/>
              <w:rPr>
                <w:sz w:val="13"/>
                <w:szCs w:val="13"/>
                <w:color w:val="auto"/>
              </w:rPr>
            </w:pPr>
          </w:p>
        </w:tc>
        <w:tc>
          <w:tcPr>
            <w:tcW w:w="1280" w:type="dxa"/>
            <w:vAlign w:val="bottom"/>
            <w:vMerge w:val="restart"/>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20" w:type="dxa"/>
            <w:vAlign w:val="bottom"/>
          </w:tcPr>
          <w:p>
            <w:pPr>
              <w:spacing w:after="0"/>
              <w:rPr>
                <w:sz w:val="13"/>
                <w:szCs w:val="13"/>
                <w:color w:val="auto"/>
              </w:rPr>
            </w:pPr>
          </w:p>
        </w:tc>
        <w:tc>
          <w:tcPr>
            <w:tcW w:w="128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20" w:type="dxa"/>
            <w:vAlign w:val="bottom"/>
          </w:tcPr>
          <w:p>
            <w:pPr>
              <w:spacing w:after="0"/>
              <w:rPr>
                <w:sz w:val="13"/>
                <w:szCs w:val="13"/>
                <w:color w:val="auto"/>
              </w:rPr>
            </w:pPr>
          </w:p>
        </w:tc>
        <w:tc>
          <w:tcPr>
            <w:tcW w:w="134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80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896.3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7"/>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220" w:type="dxa"/>
            <w:vAlign w:val="bottom"/>
          </w:tcPr>
          <w:p>
            <w:pPr>
              <w:spacing w:after="0"/>
              <w:rPr>
                <w:sz w:val="18"/>
                <w:szCs w:val="18"/>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175.3</w:t>
            </w:r>
          </w:p>
        </w:tc>
        <w:tc>
          <w:tcPr>
            <w:tcW w:w="220" w:type="dxa"/>
            <w:vAlign w:val="bottom"/>
          </w:tcPr>
          <w:p>
            <w:pPr>
              <w:spacing w:after="0"/>
              <w:rPr>
                <w:sz w:val="18"/>
                <w:szCs w:val="18"/>
                <w:color w:val="auto"/>
              </w:rPr>
            </w:pPr>
          </w:p>
        </w:tc>
        <w:tc>
          <w:tcPr>
            <w:tcW w:w="13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92.2</w:t>
            </w:r>
          </w:p>
        </w:tc>
        <w:tc>
          <w:tcPr>
            <w:tcW w:w="15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20"/>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10.2</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w:t>
            </w:r>
          </w:p>
        </w:tc>
        <w:tc>
          <w:tcPr>
            <w:tcW w:w="15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1,081.8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75.1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380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*Includes international net sales of:</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235.0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(16.8)</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698"/>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580" w:type="dxa"/>
            <w:vAlign w:val="bottom"/>
          </w:tcPr>
          <w:p>
            <w:pPr>
              <w:spacing w:after="0"/>
              <w:rPr>
                <w:sz w:val="13"/>
                <w:szCs w:val="13"/>
                <w:color w:val="auto"/>
              </w:rPr>
            </w:pPr>
          </w:p>
        </w:tc>
        <w:tc>
          <w:tcPr>
            <w:tcW w:w="1280" w:type="dxa"/>
            <w:vAlign w:val="bottom"/>
            <w:vMerge w:val="restart"/>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20" w:type="dxa"/>
            <w:vAlign w:val="bottom"/>
          </w:tcPr>
          <w:p>
            <w:pPr>
              <w:spacing w:after="0"/>
              <w:rPr>
                <w:sz w:val="13"/>
                <w:szCs w:val="13"/>
                <w:color w:val="auto"/>
              </w:rPr>
            </w:pPr>
          </w:p>
        </w:tc>
        <w:tc>
          <w:tcPr>
            <w:tcW w:w="128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20" w:type="dxa"/>
            <w:vAlign w:val="bottom"/>
          </w:tcPr>
          <w:p>
            <w:pPr>
              <w:spacing w:after="0"/>
              <w:rPr>
                <w:sz w:val="13"/>
                <w:szCs w:val="13"/>
                <w:color w:val="auto"/>
              </w:rPr>
            </w:pPr>
          </w:p>
        </w:tc>
        <w:tc>
          <w:tcPr>
            <w:tcW w:w="134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80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2,845.7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(202.7)</w:t>
            </w:r>
          </w:p>
        </w:tc>
        <w:tc>
          <w:tcPr>
            <w:tcW w:w="15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99"/>
              </w:rPr>
              <w:t>(7.1)%</w:t>
            </w:r>
          </w:p>
        </w:tc>
        <w:tc>
          <w:tcPr>
            <w:tcW w:w="0" w:type="dxa"/>
            <w:vAlign w:val="bottom"/>
          </w:tcPr>
          <w:p>
            <w:pPr>
              <w:spacing w:after="0"/>
              <w:rPr>
                <w:sz w:val="1"/>
                <w:szCs w:val="1"/>
                <w:color w:val="auto"/>
              </w:rPr>
            </w:pPr>
          </w:p>
        </w:tc>
      </w:tr>
      <w:tr>
        <w:trPr>
          <w:trHeight w:val="217"/>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220" w:type="dxa"/>
            <w:vAlign w:val="bottom"/>
          </w:tcPr>
          <w:p>
            <w:pPr>
              <w:spacing w:after="0"/>
              <w:rPr>
                <w:sz w:val="18"/>
                <w:szCs w:val="18"/>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705.8</w:t>
            </w:r>
          </w:p>
        </w:tc>
        <w:tc>
          <w:tcPr>
            <w:tcW w:w="220" w:type="dxa"/>
            <w:vAlign w:val="bottom"/>
          </w:tcPr>
          <w:p>
            <w:pPr>
              <w:spacing w:after="0"/>
              <w:rPr>
                <w:sz w:val="18"/>
                <w:szCs w:val="18"/>
                <w:color w:val="auto"/>
              </w:rPr>
            </w:pPr>
          </w:p>
        </w:tc>
        <w:tc>
          <w:tcPr>
            <w:tcW w:w="13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137.4</w:t>
            </w:r>
          </w:p>
        </w:tc>
        <w:tc>
          <w:tcPr>
            <w:tcW w:w="152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20"/>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18.5</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3.1</w:t>
            </w:r>
          </w:p>
        </w:tc>
        <w:tc>
          <w:tcPr>
            <w:tcW w:w="152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3,570.0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(62.2)</w:t>
            </w:r>
          </w:p>
        </w:tc>
        <w:tc>
          <w:tcPr>
            <w:tcW w:w="1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w w:val="99"/>
              </w:rPr>
              <w:t>(1.7)%</w:t>
            </w: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380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*Includes international net sales of:</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756.7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(65.3)</w:t>
            </w:r>
          </w:p>
        </w:tc>
        <w:tc>
          <w:tcPr>
            <w:tcW w:w="1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w w:val="99"/>
              </w:rPr>
              <w:t>(8.6)%</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segment earnings (loss) for our reportable business segments and operating (loss) for our Other activities: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740" w:type="dxa"/>
            <w:vAlign w:val="bottom"/>
          </w:tcPr>
          <w:p>
            <w:pPr>
              <w:spacing w:after="0"/>
              <w:rPr>
                <w:sz w:val="13"/>
                <w:szCs w:val="13"/>
                <w:color w:val="auto"/>
              </w:rPr>
            </w:pPr>
          </w:p>
        </w:tc>
        <w:tc>
          <w:tcPr>
            <w:tcW w:w="128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00" w:type="dxa"/>
            <w:vAlign w:val="bottom"/>
          </w:tcPr>
          <w:p>
            <w:pPr>
              <w:spacing w:after="0"/>
              <w:rPr>
                <w:sz w:val="13"/>
                <w:szCs w:val="13"/>
                <w:color w:val="auto"/>
              </w:rPr>
            </w:pPr>
          </w:p>
        </w:tc>
        <w:tc>
          <w:tcPr>
            <w:tcW w:w="1300" w:type="dxa"/>
            <w:vAlign w:val="bottom"/>
            <w:vMerge w:val="restart"/>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00" w:type="dxa"/>
            <w:vAlign w:val="bottom"/>
          </w:tcPr>
          <w:p>
            <w:pPr>
              <w:spacing w:after="0"/>
              <w:rPr>
                <w:sz w:val="13"/>
                <w:szCs w:val="13"/>
                <w:color w:val="auto"/>
              </w:rPr>
            </w:pPr>
          </w:p>
        </w:tc>
        <w:tc>
          <w:tcPr>
            <w:tcW w:w="134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auto"/>
            </w:tcBorders>
            <w:vMerge w:val="continue"/>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152.7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1,174.6 %</w:t>
            </w:r>
          </w:p>
        </w:tc>
        <w:tc>
          <w:tcPr>
            <w:tcW w:w="0" w:type="dxa"/>
            <w:vAlign w:val="bottom"/>
          </w:tcPr>
          <w:p>
            <w:pPr>
              <w:spacing w:after="0"/>
              <w:rPr>
                <w:sz w:val="1"/>
                <w:szCs w:val="1"/>
                <w:color w:val="auto"/>
              </w:rPr>
            </w:pPr>
          </w:p>
        </w:tc>
      </w:tr>
      <w:tr>
        <w:trPr>
          <w:trHeight w:val="21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740" w:type="dxa"/>
            <w:vAlign w:val="bottom"/>
          </w:tcPr>
          <w:p>
            <w:pPr>
              <w:spacing w:after="0"/>
              <w:rPr>
                <w:sz w:val="18"/>
                <w:szCs w:val="18"/>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32.6</w:t>
            </w:r>
          </w:p>
        </w:tc>
        <w:tc>
          <w:tcPr>
            <w:tcW w:w="200" w:type="dxa"/>
            <w:vAlign w:val="bottom"/>
          </w:tcPr>
          <w:p>
            <w:pPr>
              <w:spacing w:after="0"/>
              <w:rPr>
                <w:sz w:val="18"/>
                <w:szCs w:val="18"/>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Pr>
          <w:p>
            <w:pPr>
              <w:spacing w:after="0"/>
              <w:rPr>
                <w:sz w:val="18"/>
                <w:szCs w:val="18"/>
                <w:color w:val="auto"/>
              </w:rPr>
            </w:pPr>
          </w:p>
        </w:tc>
        <w:tc>
          <w:tcPr>
            <w:tcW w:w="13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28.8</w:t>
            </w:r>
          </w:p>
        </w:tc>
        <w:tc>
          <w:tcPr>
            <w:tcW w:w="15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757.9</w:t>
            </w:r>
          </w:p>
        </w:tc>
        <w:tc>
          <w:tcPr>
            <w:tcW w:w="0" w:type="dxa"/>
            <w:vAlign w:val="bottom"/>
          </w:tcPr>
          <w:p>
            <w:pPr>
              <w:spacing w:after="0"/>
              <w:rPr>
                <w:sz w:val="1"/>
                <w:szCs w:val="1"/>
                <w:color w:val="auto"/>
              </w:rPr>
            </w:pPr>
          </w:p>
        </w:tc>
      </w:tr>
      <w:tr>
        <w:trPr>
          <w:trHeight w:val="220"/>
        </w:trPr>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(8.7)</w:t>
            </w:r>
          </w:p>
        </w:tc>
        <w:tc>
          <w:tcPr>
            <w:tcW w:w="15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segment earnings (loss)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144.2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172.8</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604.2 %</w:t>
            </w:r>
          </w:p>
        </w:tc>
        <w:tc>
          <w:tcPr>
            <w:tcW w:w="0" w:type="dxa"/>
            <w:vAlign w:val="bottom"/>
          </w:tcPr>
          <w:p>
            <w:pPr>
              <w:spacing w:after="0"/>
              <w:rPr>
                <w:sz w:val="1"/>
                <w:szCs w:val="1"/>
                <w:color w:val="auto"/>
              </w:rPr>
            </w:pPr>
          </w:p>
        </w:tc>
      </w:tr>
      <w:tr>
        <w:trPr>
          <w:trHeight w:val="22"/>
        </w:trPr>
        <w:tc>
          <w:tcPr>
            <w:tcW w:w="36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740" w:type="dxa"/>
            <w:vAlign w:val="bottom"/>
          </w:tcPr>
          <w:p>
            <w:pPr>
              <w:spacing w:after="0"/>
              <w:rPr>
                <w:sz w:val="13"/>
                <w:szCs w:val="13"/>
                <w:color w:val="auto"/>
              </w:rPr>
            </w:pPr>
          </w:p>
        </w:tc>
        <w:tc>
          <w:tcPr>
            <w:tcW w:w="128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80" w:type="dxa"/>
            <w:vAlign w:val="bottom"/>
          </w:tcPr>
          <w:p>
            <w:pPr>
              <w:spacing w:after="0"/>
              <w:rPr>
                <w:sz w:val="13"/>
                <w:szCs w:val="13"/>
                <w:color w:val="auto"/>
              </w:rPr>
            </w:pPr>
          </w:p>
        </w:tc>
        <w:tc>
          <w:tcPr>
            <w:tcW w:w="130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00" w:type="dxa"/>
            <w:vAlign w:val="bottom"/>
          </w:tcPr>
          <w:p>
            <w:pPr>
              <w:spacing w:after="0"/>
              <w:rPr>
                <w:sz w:val="13"/>
                <w:szCs w:val="13"/>
                <w:color w:val="auto"/>
              </w:rPr>
            </w:pPr>
          </w:p>
        </w:tc>
        <w:tc>
          <w:tcPr>
            <w:tcW w:w="1340" w:type="dxa"/>
            <w:vAlign w:val="bottom"/>
          </w:tcPr>
          <w:p>
            <w:pPr>
              <w:jc w:val="center"/>
              <w:ind w:right="15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680" w:type="dxa"/>
            <w:vAlign w:val="bottom"/>
            <w:tcBorders>
              <w:bottom w:val="single" w:sz="8" w:color="auto"/>
            </w:tcBorders>
            <w:vMerge w:val="continue"/>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469.2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384.6</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center"/>
              <w:ind w:left="678"/>
              <w:spacing w:after="0"/>
              <w:rPr>
                <w:sz w:val="20"/>
                <w:szCs w:val="20"/>
                <w:color w:val="auto"/>
              </w:rPr>
            </w:pPr>
            <w:r>
              <w:rPr>
                <w:rFonts w:ascii="Times New Roman" w:cs="Times New Roman" w:eastAsia="Times New Roman" w:hAnsi="Times New Roman"/>
                <w:sz w:val="16"/>
                <w:szCs w:val="16"/>
                <w:color w:val="auto"/>
              </w:rPr>
              <w:t>84.6</w:t>
            </w:r>
          </w:p>
        </w:tc>
        <w:tc>
          <w:tcPr>
            <w:tcW w:w="15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22.0 %</w:t>
            </w:r>
          </w:p>
        </w:tc>
        <w:tc>
          <w:tcPr>
            <w:tcW w:w="0" w:type="dxa"/>
            <w:vAlign w:val="bottom"/>
          </w:tcPr>
          <w:p>
            <w:pPr>
              <w:spacing w:after="0"/>
              <w:rPr>
                <w:sz w:val="1"/>
                <w:szCs w:val="1"/>
                <w:color w:val="auto"/>
              </w:rPr>
            </w:pPr>
          </w:p>
        </w:tc>
      </w:tr>
      <w:tr>
        <w:trPr>
          <w:trHeight w:val="21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740" w:type="dxa"/>
            <w:vAlign w:val="bottom"/>
          </w:tcPr>
          <w:p>
            <w:pPr>
              <w:spacing w:after="0"/>
              <w:rPr>
                <w:sz w:val="18"/>
                <w:szCs w:val="18"/>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92.2</w:t>
            </w:r>
          </w:p>
        </w:tc>
        <w:tc>
          <w:tcPr>
            <w:tcW w:w="180" w:type="dxa"/>
            <w:vAlign w:val="bottom"/>
          </w:tcPr>
          <w:p>
            <w:pPr>
              <w:spacing w:after="0"/>
              <w:rPr>
                <w:sz w:val="18"/>
                <w:szCs w:val="18"/>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64.4</w:t>
            </w:r>
          </w:p>
        </w:tc>
        <w:tc>
          <w:tcPr>
            <w:tcW w:w="200" w:type="dxa"/>
            <w:vAlign w:val="bottom"/>
          </w:tcPr>
          <w:p>
            <w:pPr>
              <w:spacing w:after="0"/>
              <w:rPr>
                <w:sz w:val="18"/>
                <w:szCs w:val="18"/>
                <w:color w:val="auto"/>
              </w:rPr>
            </w:pPr>
          </w:p>
        </w:tc>
        <w:tc>
          <w:tcPr>
            <w:tcW w:w="1340" w:type="dxa"/>
            <w:vAlign w:val="bottom"/>
          </w:tcPr>
          <w:p>
            <w:pPr>
              <w:jc w:val="center"/>
              <w:ind w:left="678"/>
              <w:spacing w:after="0"/>
              <w:rPr>
                <w:sz w:val="20"/>
                <w:szCs w:val="20"/>
                <w:color w:val="auto"/>
              </w:rPr>
            </w:pPr>
            <w:r>
              <w:rPr>
                <w:rFonts w:ascii="Times New Roman" w:cs="Times New Roman" w:eastAsia="Times New Roman" w:hAnsi="Times New Roman"/>
                <w:sz w:val="16"/>
                <w:szCs w:val="16"/>
                <w:color w:val="auto"/>
              </w:rPr>
              <w:t>27.8</w:t>
            </w:r>
          </w:p>
        </w:tc>
        <w:tc>
          <w:tcPr>
            <w:tcW w:w="152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2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auto"/>
              </w:rPr>
              <w:t>(22.5)</w:t>
            </w:r>
          </w:p>
        </w:tc>
        <w:tc>
          <w:tcPr>
            <w:tcW w:w="15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13"/>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segment earnings (loss)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403.5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313.6</w:t>
            </w: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center"/>
              <w:ind w:left="678"/>
              <w:spacing w:after="0"/>
              <w:rPr>
                <w:sz w:val="20"/>
                <w:szCs w:val="20"/>
                <w:color w:val="auto"/>
              </w:rPr>
            </w:pPr>
            <w:r>
              <w:rPr>
                <w:rFonts w:ascii="Times New Roman" w:cs="Times New Roman" w:eastAsia="Times New Roman" w:hAnsi="Times New Roman"/>
                <w:sz w:val="16"/>
                <w:szCs w:val="16"/>
                <w:color w:val="auto"/>
              </w:rPr>
              <w:t>89.9</w:t>
            </w:r>
          </w:p>
        </w:tc>
        <w:tc>
          <w:tcPr>
            <w:tcW w:w="15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28.7 %</w:t>
            </w:r>
          </w:p>
        </w:tc>
        <w:tc>
          <w:tcPr>
            <w:tcW w:w="0" w:type="dxa"/>
            <w:vAlign w:val="bottom"/>
          </w:tcPr>
          <w:p>
            <w:pPr>
              <w:spacing w:after="0"/>
              <w:rPr>
                <w:sz w:val="1"/>
                <w:szCs w:val="1"/>
                <w:color w:val="auto"/>
              </w:rPr>
            </w:pPr>
          </w:p>
        </w:tc>
      </w:tr>
      <w:tr>
        <w:trPr>
          <w:trHeight w:val="22"/>
        </w:trPr>
        <w:tc>
          <w:tcPr>
            <w:tcW w:w="36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Professional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Worldwide net sales for our Professional segment for the third quarter of fiscal 2024 decreased 1.7 percent compared to the third quarter of fiscal 2023. This decrease was driven primarily by lower shipments of snow and ice management products, lawn care equipment, and compact utility loaders, partially offset by higher shipments of golf and grounds products and underground construction equipment, along with net price realization. Worldwide net sales for our Professional segment for the year-to-date period of fiscal 2024 decreased 7.1 percent compared to the same period of fiscal 2023. This decrease was driven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primarily by lower shipments of zero-turn mowers and snow and ice management products, partially offset by higher shipments of underground construction equipment and golf and grounds products.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Earnings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Professional segment earnings for the third quarter of fiscal 2024 increased 1,174.6 percent compared to the third quarter of fiscal 2023, and Professional segment earnings margin increased to 18.8 percent from 1.5 percent for the third quarter of fiscal 2023. The increase in Professional segment earnings margin for the third quarter comparison was primarily due to the prior year non-cash impairment charges, productivity improvements, product mix, and net price realization, partially offset by higher material and manufacturing costs and lower net sales volume. Professional segment earnings for the year-to-date period of fiscal 2024 increased 22.0 percent compared to the same period of fiscal 2023, and Professional segment earnings margin increased to 17.8 percent from 13.5 percent for the year-to-date period of fiscal 2023. The increase in Professional segment earnings margin for the year-to-date comparison was primarily due to the prior year non-cash impairment charges, productivity improvements, and product mix, partially offset by higher material and manufacturing costs and lower net sales volume.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Residential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Worldwide net sales for our Residential segment for the third quarter of fiscal 2024 increased 52.6 percent compared to the third quarter of fiscal 2023. The increase in Residential segment net sales was primarily driven by higher shipments to our mass channel. Worldwide net sales for our Residential segment for the year-to-date period of fiscal 2024 increased 19.5 percent compared to the same period of fiscal 2023. The increase in Residential segment net sales was primarily driven by higher shipments to our mass channel, partially offset by lower shipments of snow products.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Earnings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Residential segment earnings for the third quarter of fiscal 2024 increased 757.9 percent compared to the third quarter of fiscal 2023, and Residential segment earnings margin increased to 12.2 percent from 2.2 percent in the third quarter of fiscal 2023. The increase in Residential segment earnings margin for the third quarter of fiscal 2024 was largely due to net sales leverage, productivity improvements, and net price realization primarily driven by lower floor plan costs, partially offset by product mix and higher material and manufacturing costs. Residential segment earnings for the year-to-date period of fiscal 2024 increased 43.2 percent compared to the same period of fiscal 2023, and Residential segment earnings margin increased to 10.9 percent from 9.1 percent in the year-to-date period of fiscal 2023. The increase in Residential segment earnings margin for the year-to-date period of fiscal 2024 was largely driven by net sales leverage and productivity improvements, partially offset by product mix and higher material and manufacturing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Net Sales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Net sales for our Other activities includes sales from our wholly-owned domestic distribution company net of intersegment sales from the Professional and Residential segments to the distribution company. Net sales for our Other activities in the third quarter of fiscal 2024 decreased by $1.7 million compared to the same period in fiscal 2023. Net sales for our Other activities in the year-to-date period of fiscal 2024 increased by $3.1 million compared to the same period in fiscal 2023.</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Loss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operating loss for our Other activities for the third quarter of fiscal 2024 increased $8.7 million compared to the third quarter of fiscal 2023. The operating loss for our Other activities for the year-to-date period of fiscal 2024 increased $22.5 million compared to the same period in fiscal 2023. The increased operating loss for the third quarter of fiscal 2024 was primarily due to higher corporate expenses. The increased operating loss for the year-to-date period of fiscal 2024 was primarily due to higher corporate expenses and higher interest expense.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POSITION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ongoing goal is to maintain requisite inventory levels to meet our anticipated production requirements, avoid manufacturing delays, and meet the demand for our products, as well as working to ensure service parts availability for our customers. Accounts receivable as of the end of the third quarter of fiscal 2024 increased $141.6 million, or 36.2 percent, compared to the end of the third quarter of fiscal 2023, primarily driven by increased shipments to our mass channel, as well as payment terms to that channel. Inventory levels were down $30.7 million, or 2.8 percent, as of the third quarter of fiscal 2024 compared to the third quarter of fiscal 2023, primarily due to a reduction in lawn care equipment finished goods balances and a reduction in work-in-process balances, partially offset by higher balances of compact utility loaders and snow and ice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management products. Accounts payable increased $30.4 million, or 7.5 percent, as of the end of the third quarter of fiscal 2024 compared to the end of the third quarter of fiscal 2023, primarily due to the timing of material purchases.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Net cash provided by operating activities for the first nine months of fiscal 2024 was $329.8 million compared to $154.7 million for the first nine months of fiscal 2023. This increase was mainly due to net favorable fluctuations in working capital during the current fiscal year period compared to the prior fiscal year period.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for the first nine months of fiscal 2024 was $43.4 million compared to $119.2 million for the first nine months of fiscal 2023. This decrease was primarily driven by lower purchases of property, plant, and equipment, lower cash outflows for acquisitions, and higher cash inflows from divestitures in each case during the current fiscal year period compared to the prior fiscal year period.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used in financing activities for the first nine months of fiscal 2024 was $260.5 million compared to $82.4 million for the first nine months of fiscal 2023. This increase was mainly due to changes in activity under the revolving credit facility and higher stock repurchases in each case during the current fiscal year period compared to the prior fiscal year period.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of August 2, 2024, we had available liquidity of $818.4 million, consisting of cash and cash equivalents of $221.1 million, of which $127.8 million was held by our foreign subsidiaries, and availability under our revolving credit facility of $597.3 million. We believe our current liquidity position, including the funds available through existing, and potential future, financing arrangements and forecasted cash flows from operations will be sufficient to provide the necessary capital resources for our anticipated working capital needs, payroll, and other administrative costs, capital expenditures, lease payments, purchase commitments, contractual obligations, acquisitions, investments, establishment of new facilities, expansion and renovation of existing facilities, financing receivables from customers that are not financed with Red Iron or other third-party financial institutions, contingent consideration payments, debt repayments, interest payments, quarterly cash dividend payments, and common stock repurchases, all as applicable, for at least the next twelve months.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debt arrangements are described in further detail in our Annual Report on Form 10-K for the fiscal year ended October 31, 2023. The following is a summary of our indebtedness: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2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$600 million revolving credit facility, due October 2026</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$270 million term loan, due October 2026</w:t>
            </w:r>
          </w:p>
        </w:tc>
        <w:tc>
          <w:tcPr>
            <w:tcW w:w="1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28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270.0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million term loan, due April 2027</w:t>
            </w:r>
          </w:p>
        </w:tc>
        <w:tc>
          <w:tcPr>
            <w:tcW w:w="1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1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28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124.1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20"/>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long-term debt</w:t>
            </w:r>
          </w:p>
        </w:tc>
        <w:tc>
          <w:tcPr>
            <w:tcW w:w="1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991.9</w:t>
            </w:r>
          </w:p>
        </w:tc>
        <w:tc>
          <w:tcPr>
            <w:tcW w:w="28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1,061.3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1,031.5</w:t>
            </w:r>
          </w:p>
        </w:tc>
      </w:tr>
      <w:tr>
        <w:trPr>
          <w:trHeight w:val="220"/>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966.6</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1,061.3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1,031.5</w:t>
            </w:r>
          </w:p>
        </w:tc>
      </w:tr>
      <w:tr>
        <w:trPr>
          <w:trHeight w:val="22"/>
        </w:trPr>
        <w:tc>
          <w:tcPr>
            <w:tcW w:w="4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As of August 2, 2024, we had no outstanding borrowings under our revolving credit facility and $2.7 million outstanding under the sublimit for standby letters of credit, which resulted in $597.3 million of unutilized availability under our revolving credit facility.</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are in compliance with our debt covenants and other requirements of our revolving credit facility and term loan credit agreements, indentures, and private placement note purchase agreements.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Dividends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Board of Directors approved a cash dividend of $0.36 per share for the third quarter of fiscal 2024 that was paid on July 11, 2024. This was an increase of 5.9 percent over our cash dividend of $0.34 per share for the third quarter of fiscal 2023. We expect to continue paying our quarterly cash dividend to shareholders for the remainder of fiscal 2024.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During the first nine months of fiscal 2024, we repurchased 1,178,074 shares of our common stock in the open market under our Board authorized repurchase program, thereby reducing our total shares outstanding. As of August 2, 2024, 5,771,417 shares remained available for repurchase under our Board authorized repurchase program. We expect to continue to repurchase shares of our common stock throughout the remainder of fiscal 2024, depending on our cash balance, debt repayments, market conditions, our anticipated working capital needs, the price of our common stock, and/or other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Financing Arrangements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customer financing arrangements are described in further detail in our Annual Report on Form 10-K for the fiscal year ended October 31, 2023. There have been no material changes to our customer financing arrangements during the first nine months of fiscal 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Financing</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are party to inventory financing arrangements with Red Iron, HCFC, and other third-party financial institutions which provide inventory financing to certain dealers and distributors of certain of our products in the U.S. and internationally.</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 with Red Iron for the nine month periods ended August 2, 2024 and August 4, 2023 were $1,882.3 million and $2,160.8 million, respectively. The total amount of net receivables outstanding under the arrangement with Red Iron as of August 2, 2024, August 4, 2023 and October 31, 2023 were $927.8 million, $1,010.5 million and $1,019.0 million, respectively. The total amount of receivables due from Red Iron to us as of August 2, 2024, August 4, 2023 and October 31, 2023 were $28.6 million, $30.4 million and $34.4 million, respectively.</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arrangements with HCFC and the other third-party financial institutions for the nine month periods ended August 2, 2024 and August 4, 2023 were $442.0 million and $367.6 million, respectively. The total amount of net receivables outstanding under the arrangements with HCFC and the other third-party financial institutions as of August 2, 2024, August 4, 2023, and October 31, 2023 were $228.5 million, $187.2 million, and $234.7 million,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Repurchase Agreements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have entered into a limited inventory repurchase agreement with Red Iron and HCFC under which we have agreed to repurchase certain repossessed products, up to a maximum aggregate amount of $7.5 million in a calendar year.</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Additionally, as a result of our financing agreements with the other third-party financial institutions, we have also entered into inventory repurchase agreements with the other third-party financial institutions. Under such inventory repurchase agreements, we have agreed to repurchase products repossessed by the other third-party financial institutions. As of August 2, 2024, August 4, 2023, and October 31, 2023, we were contingently liable to repurchase up to a maximum amount of $30.2 million, $118.8 million, and $32.2 million, respectively, of inventory related to receivables under these inventory repurchase agreements.</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We have repurchased immaterial amounts of inventory pursuant to such arrangements for the nine months ended August 2, 2024 and August 4, 2023.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provided in this Quarterly Report on Form 10-Q certain non-GAAP financial measures, which are not calculated or presented in accordance with U.S. GAAP, as information supplemental and in addition to the most directly comparable financial measures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provides a reconciliation of the non-GAAP financial performance measures used in this report to the most directly comparable measures calculated and reported in accordance with U.S. GAAP for the three and nine month periods ended August 2, 2024 and August 4, 2023:</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3"/>
          </w:tcPr>
          <w:p>
            <w:pPr>
              <w:jc w:val="right"/>
              <w:ind w:right="75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right"/>
              <w:ind w:right="75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4, 2023</w:t>
            </w:r>
          </w:p>
        </w:tc>
      </w:tr>
      <w:tr>
        <w:trPr>
          <w:trHeight w:val="214"/>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402.8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372.4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1,200.3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1,248.0</w:t>
            </w:r>
          </w:p>
        </w:tc>
      </w:tr>
      <w:tr>
        <w:trPr>
          <w:trHeight w:val="220"/>
        </w:trPr>
        <w:tc>
          <w:tcPr>
            <w:tcW w:w="40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1"/>
                <w:szCs w:val="21"/>
                <w:color w:val="auto"/>
                <w:vertAlign w:val="superscript"/>
              </w:rPr>
              <w:t>1</w:t>
            </w:r>
          </w:p>
        </w:tc>
        <w:tc>
          <w:tcPr>
            <w:tcW w:w="116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0.2</w:t>
            </w:r>
          </w:p>
        </w:tc>
      </w:tr>
      <w:tr>
        <w:trPr>
          <w:trHeight w:val="220"/>
        </w:trPr>
        <w:tc>
          <w:tcPr>
            <w:tcW w:w="400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1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6.9</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6.9</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409.7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372.4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1,207.2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1,248.2</w:t>
            </w:r>
          </w:p>
        </w:tc>
      </w:tr>
      <w:tr>
        <w:trPr>
          <w:trHeight w:val="86"/>
        </w:trPr>
        <w:tc>
          <w:tcPr>
            <w:tcW w:w="4000" w:type="dxa"/>
            <w:vAlign w:val="bottom"/>
            <w:tcBorders>
              <w:bottom w:val="single" w:sz="8" w:color="auto"/>
            </w:tcBorders>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34.4 %</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34.2 %</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35.0 %</w:t>
            </w:r>
          </w:p>
        </w:tc>
      </w:tr>
      <w:tr>
        <w:trPr>
          <w:trHeight w:val="223"/>
        </w:trPr>
        <w:tc>
          <w:tcPr>
            <w:tcW w:w="4000" w:type="dxa"/>
            <w:vAlign w:val="bottom"/>
            <w:tcBorders>
              <w:bottom w:val="single" w:sz="8" w:color="auto"/>
            </w:tcBorders>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1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gross margin</w:t>
            </w:r>
          </w:p>
        </w:tc>
        <w:tc>
          <w:tcPr>
            <w:tcW w:w="1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34.4 %</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34.4 %</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35.0 %</w:t>
            </w:r>
          </w:p>
        </w:tc>
      </w:tr>
      <w:tr>
        <w:trPr>
          <w:trHeight w:val="86"/>
        </w:trPr>
        <w:tc>
          <w:tcPr>
            <w:tcW w:w="4000" w:type="dxa"/>
            <w:vAlign w:val="bottom"/>
            <w:tcBorders>
              <w:bottom w:val="single" w:sz="8" w:color="auto"/>
            </w:tcBorders>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earnings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148.1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(19.1)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424.3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336.1</w:t>
            </w:r>
          </w:p>
        </w:tc>
      </w:tr>
      <w:tr>
        <w:trPr>
          <w:trHeight w:val="223"/>
        </w:trPr>
        <w:tc>
          <w:tcPr>
            <w:tcW w:w="400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1"/>
                <w:szCs w:val="21"/>
                <w:color w:val="auto"/>
                <w:vertAlign w:val="superscript"/>
              </w:rPr>
              <w:t>1</w:t>
            </w:r>
          </w:p>
        </w:tc>
        <w:tc>
          <w:tcPr>
            <w:tcW w:w="1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0.5</w:t>
            </w:r>
          </w:p>
        </w:tc>
      </w:tr>
      <w:tr>
        <w:trPr>
          <w:trHeight w:val="220"/>
        </w:trPr>
        <w:tc>
          <w:tcPr>
            <w:tcW w:w="40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116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10.9</w:t>
            </w:r>
          </w:p>
        </w:tc>
        <w:tc>
          <w:tcPr>
            <w:tcW w:w="22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19.2</w:t>
            </w:r>
          </w:p>
        </w:tc>
        <w:tc>
          <w:tcPr>
            <w:tcW w:w="220" w:type="dxa"/>
            <w:vAlign w:val="bottom"/>
          </w:tcPr>
          <w:p>
            <w:pPr>
              <w:spacing w:after="0"/>
              <w:rPr>
                <w:sz w:val="19"/>
                <w:szCs w:val="19"/>
                <w:color w:val="auto"/>
              </w:rPr>
            </w:pPr>
          </w:p>
        </w:tc>
        <w:tc>
          <w:tcPr>
            <w:tcW w:w="13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0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Non-cash impairment charges</w:t>
            </w:r>
            <w:r>
              <w:rPr>
                <w:rFonts w:ascii="Times New Roman" w:cs="Times New Roman" w:eastAsia="Times New Roman" w:hAnsi="Times New Roman"/>
                <w:sz w:val="21"/>
                <w:szCs w:val="21"/>
                <w:color w:val="auto"/>
                <w:vertAlign w:val="superscript"/>
              </w:rPr>
              <w:t>3</w:t>
            </w:r>
          </w:p>
        </w:tc>
        <w:tc>
          <w:tcPr>
            <w:tcW w:w="1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151.3</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151.3</w:t>
            </w:r>
          </w:p>
        </w:tc>
      </w:tr>
      <w:tr>
        <w:trPr>
          <w:trHeight w:val="21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operating earnings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159.0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132.2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443.5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487.9</w:t>
            </w:r>
          </w:p>
        </w:tc>
      </w:tr>
      <w:tr>
        <w:trPr>
          <w:trHeight w:val="86"/>
        </w:trPr>
        <w:tc>
          <w:tcPr>
            <w:tcW w:w="4000" w:type="dxa"/>
            <w:vAlign w:val="bottom"/>
            <w:tcBorders>
              <w:bottom w:val="single" w:sz="8" w:color="auto"/>
            </w:tcBorders>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earnings (loss) margin</w:t>
            </w:r>
          </w:p>
        </w:tc>
        <w:tc>
          <w:tcPr>
            <w:tcW w:w="1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9.4 %</w:t>
            </w:r>
          </w:p>
        </w:tc>
      </w:tr>
      <w:tr>
        <w:trPr>
          <w:trHeight w:val="223"/>
        </w:trPr>
        <w:tc>
          <w:tcPr>
            <w:tcW w:w="400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1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20"/>
        </w:trPr>
        <w:tc>
          <w:tcPr>
            <w:tcW w:w="40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Non-cash impairment charges</w:t>
            </w:r>
            <w:r>
              <w:rPr>
                <w:rFonts w:ascii="Times New Roman" w:cs="Times New Roman" w:eastAsia="Times New Roman" w:hAnsi="Times New Roman"/>
                <w:sz w:val="21"/>
                <w:szCs w:val="21"/>
                <w:color w:val="auto"/>
                <w:vertAlign w:val="superscript"/>
              </w:rPr>
              <w:t>3</w:t>
            </w: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10"/>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earnings margin</w:t>
            </w:r>
          </w:p>
        </w:tc>
        <w:tc>
          <w:tcPr>
            <w:tcW w:w="1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r>
      <w:tr>
        <w:trPr>
          <w:trHeight w:val="86"/>
        </w:trPr>
        <w:tc>
          <w:tcPr>
            <w:tcW w:w="40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21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144.2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(28.6)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403.5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313.6</w:t>
            </w:r>
          </w:p>
        </w:tc>
      </w:tr>
      <w:tr>
        <w:trPr>
          <w:trHeight w:val="220"/>
        </w:trPr>
        <w:tc>
          <w:tcPr>
            <w:tcW w:w="40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1"/>
                <w:szCs w:val="21"/>
                <w:color w:val="auto"/>
                <w:vertAlign w:val="superscript"/>
              </w:rPr>
              <w:t>1</w:t>
            </w:r>
          </w:p>
        </w:tc>
        <w:tc>
          <w:tcPr>
            <w:tcW w:w="116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0.5</w:t>
            </w:r>
          </w:p>
        </w:tc>
      </w:tr>
      <w:tr>
        <w:trPr>
          <w:trHeight w:val="220"/>
        </w:trPr>
        <w:tc>
          <w:tcPr>
            <w:tcW w:w="400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1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14.9</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Non-cash impairment charges</w:t>
            </w:r>
            <w:r>
              <w:rPr>
                <w:rFonts w:ascii="Times New Roman" w:cs="Times New Roman" w:eastAsia="Times New Roman" w:hAnsi="Times New Roman"/>
                <w:sz w:val="21"/>
                <w:szCs w:val="21"/>
                <w:color w:val="auto"/>
                <w:vertAlign w:val="superscript"/>
              </w:rPr>
              <w:t>3</w:t>
            </w: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151.3</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151.3</w:t>
            </w:r>
          </w:p>
        </w:tc>
      </w:tr>
      <w:tr>
        <w:trPr>
          <w:trHeight w:val="210"/>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before income taxes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150.8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122.7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418.4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465.4</w:t>
            </w:r>
          </w:p>
        </w:tc>
      </w:tr>
      <w:tr>
        <w:trPr>
          <w:trHeight w:val="86"/>
        </w:trPr>
        <w:tc>
          <w:tcPr>
            <w:tcW w:w="40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21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24.9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74.5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54.2</w:t>
            </w:r>
          </w:p>
        </w:tc>
      </w:tr>
      <w:tr>
        <w:trPr>
          <w:trHeight w:val="220"/>
        </w:trPr>
        <w:tc>
          <w:tcPr>
            <w:tcW w:w="40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1"/>
                <w:szCs w:val="21"/>
                <w:color w:val="auto"/>
                <w:vertAlign w:val="superscript"/>
              </w:rPr>
              <w:t>1</w:t>
            </w:r>
          </w:p>
        </w:tc>
        <w:tc>
          <w:tcPr>
            <w:tcW w:w="116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0.1</w:t>
            </w:r>
          </w:p>
        </w:tc>
      </w:tr>
      <w:tr>
        <w:trPr>
          <w:trHeight w:val="220"/>
        </w:trPr>
        <w:tc>
          <w:tcPr>
            <w:tcW w:w="400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1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Non-cash impairment charges</w:t>
            </w:r>
            <w:r>
              <w:rPr>
                <w:rFonts w:ascii="Times New Roman" w:cs="Times New Roman" w:eastAsia="Times New Roman" w:hAnsi="Times New Roman"/>
                <w:sz w:val="21"/>
                <w:szCs w:val="21"/>
                <w:color w:val="auto"/>
                <w:vertAlign w:val="superscript"/>
              </w:rPr>
              <w:t>3</w:t>
            </w:r>
          </w:p>
        </w:tc>
        <w:tc>
          <w:tcPr>
            <w:tcW w:w="116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36.7</w:t>
            </w:r>
          </w:p>
        </w:tc>
        <w:tc>
          <w:tcPr>
            <w:tcW w:w="22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36.7</w:t>
            </w:r>
          </w:p>
        </w:tc>
      </w:tr>
      <w:tr>
        <w:trPr>
          <w:trHeight w:val="220"/>
        </w:trPr>
        <w:tc>
          <w:tcPr>
            <w:tcW w:w="400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share-based compensation</w:t>
            </w:r>
            <w:r>
              <w:rPr>
                <w:rFonts w:ascii="Times New Roman" w:cs="Times New Roman" w:eastAsia="Times New Roman" w:hAnsi="Times New Roman"/>
                <w:sz w:val="21"/>
                <w:szCs w:val="21"/>
                <w:color w:val="auto"/>
                <w:vertAlign w:val="superscript"/>
              </w:rPr>
              <w:t>4</w:t>
            </w:r>
          </w:p>
        </w:tc>
        <w:tc>
          <w:tcPr>
            <w:tcW w:w="1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5.0</w:t>
            </w:r>
          </w:p>
        </w:tc>
      </w:tr>
      <w:tr>
        <w:trPr>
          <w:trHeight w:val="21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income tax provision</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27.1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23.3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80.9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96.0</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2"/>
        </w:trPr>
        <w:tc>
          <w:tcPr>
            <w:tcW w:w="400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119.3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329.0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259.4</w:t>
            </w:r>
          </w:p>
        </w:tc>
      </w:tr>
      <w:tr>
        <w:trPr>
          <w:trHeight w:val="223"/>
        </w:trPr>
        <w:tc>
          <w:tcPr>
            <w:tcW w:w="400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Acquisition-related costs, net of tax</w:t>
            </w:r>
            <w:r>
              <w:rPr>
                <w:rFonts w:ascii="Times New Roman" w:cs="Times New Roman" w:eastAsia="Times New Roman" w:hAnsi="Times New Roman"/>
                <w:sz w:val="21"/>
                <w:szCs w:val="21"/>
                <w:color w:val="auto"/>
                <w:vertAlign w:val="superscript"/>
              </w:rPr>
              <w:t>1</w:t>
            </w:r>
          </w:p>
        </w:tc>
        <w:tc>
          <w:tcPr>
            <w:tcW w:w="1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0.4</w:t>
            </w:r>
          </w:p>
        </w:tc>
      </w:tr>
      <w:tr>
        <w:trPr>
          <w:trHeight w:val="220"/>
        </w:trPr>
        <w:tc>
          <w:tcPr>
            <w:tcW w:w="40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 net of tax</w:t>
            </w:r>
            <w:r>
              <w:rPr>
                <w:rFonts w:ascii="Times New Roman" w:cs="Times New Roman" w:eastAsia="Times New Roman" w:hAnsi="Times New Roman"/>
                <w:sz w:val="21"/>
                <w:szCs w:val="21"/>
                <w:color w:val="auto"/>
                <w:vertAlign w:val="superscript"/>
              </w:rPr>
              <w:t>2</w:t>
            </w:r>
          </w:p>
        </w:tc>
        <w:tc>
          <w:tcPr>
            <w:tcW w:w="116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12.0</w:t>
            </w:r>
          </w:p>
        </w:tc>
        <w:tc>
          <w:tcPr>
            <w:tcW w:w="220" w:type="dxa"/>
            <w:vAlign w:val="bottom"/>
          </w:tcPr>
          <w:p>
            <w:pPr>
              <w:spacing w:after="0"/>
              <w:rPr>
                <w:sz w:val="19"/>
                <w:szCs w:val="19"/>
                <w:color w:val="auto"/>
              </w:rPr>
            </w:pPr>
          </w:p>
        </w:tc>
        <w:tc>
          <w:tcPr>
            <w:tcW w:w="13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0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Non-cash impairment charges, net of tax</w:t>
            </w:r>
            <w:r>
              <w:rPr>
                <w:rFonts w:ascii="Times New Roman" w:cs="Times New Roman" w:eastAsia="Times New Roman" w:hAnsi="Times New Roman"/>
                <w:sz w:val="21"/>
                <w:szCs w:val="21"/>
                <w:color w:val="auto"/>
                <w:vertAlign w:val="superscript"/>
              </w:rPr>
              <w:t>3</w:t>
            </w:r>
          </w:p>
        </w:tc>
        <w:tc>
          <w:tcPr>
            <w:tcW w:w="1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114.6</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114.6</w:t>
            </w:r>
          </w:p>
        </w:tc>
      </w:tr>
      <w:tr>
        <w:trPr>
          <w:trHeight w:val="220"/>
        </w:trPr>
        <w:tc>
          <w:tcPr>
            <w:tcW w:w="40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4</w:t>
            </w: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(5.0)</w:t>
            </w:r>
          </w:p>
        </w:tc>
      </w:tr>
      <w:tr>
        <w:trPr>
          <w:trHeight w:val="235"/>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earnings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123.7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99.4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337.5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369.4</w:t>
            </w: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40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1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 per diluted share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2.46</w:t>
            </w:r>
          </w:p>
        </w:tc>
      </w:tr>
      <w:tr>
        <w:trPr>
          <w:trHeight w:val="220"/>
        </w:trPr>
        <w:tc>
          <w:tcPr>
            <w:tcW w:w="40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 net of tax</w:t>
            </w:r>
            <w:r>
              <w:rPr>
                <w:rFonts w:ascii="Times New Roman" w:cs="Times New Roman" w:eastAsia="Times New Roman" w:hAnsi="Times New Roman"/>
                <w:sz w:val="21"/>
                <w:szCs w:val="21"/>
                <w:color w:val="auto"/>
                <w:vertAlign w:val="superscript"/>
              </w:rPr>
              <w:t>2</w:t>
            </w:r>
          </w:p>
        </w:tc>
        <w:tc>
          <w:tcPr>
            <w:tcW w:w="116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0.05</w:t>
            </w:r>
          </w:p>
        </w:tc>
        <w:tc>
          <w:tcPr>
            <w:tcW w:w="22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0.11</w:t>
            </w:r>
          </w:p>
        </w:tc>
        <w:tc>
          <w:tcPr>
            <w:tcW w:w="220" w:type="dxa"/>
            <w:vAlign w:val="bottom"/>
          </w:tcPr>
          <w:p>
            <w:pPr>
              <w:spacing w:after="0"/>
              <w:rPr>
                <w:sz w:val="19"/>
                <w:szCs w:val="19"/>
                <w:color w:val="auto"/>
              </w:rPr>
            </w:pPr>
          </w:p>
        </w:tc>
        <w:tc>
          <w:tcPr>
            <w:tcW w:w="13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0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Non-cash impairment charges, net of tax</w:t>
            </w:r>
            <w:r>
              <w:rPr>
                <w:rFonts w:ascii="Times New Roman" w:cs="Times New Roman" w:eastAsia="Times New Roman" w:hAnsi="Times New Roman"/>
                <w:sz w:val="21"/>
                <w:szCs w:val="21"/>
                <w:color w:val="auto"/>
                <w:vertAlign w:val="superscript"/>
              </w:rPr>
              <w:t>3</w:t>
            </w:r>
          </w:p>
        </w:tc>
        <w:tc>
          <w:tcPr>
            <w:tcW w:w="1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1.09</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1.09</w:t>
            </w:r>
          </w:p>
        </w:tc>
      </w:tr>
      <w:tr>
        <w:trPr>
          <w:trHeight w:val="220"/>
        </w:trPr>
        <w:tc>
          <w:tcPr>
            <w:tcW w:w="40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4</w:t>
            </w: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(0.01)</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(0.03)</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(0.05)</w:t>
            </w:r>
          </w:p>
        </w:tc>
      </w:tr>
      <w:tr>
        <w:trPr>
          <w:trHeight w:val="235"/>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earnings per diluted share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1.18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0.95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3.50</w:t>
            </w: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40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1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47.6 %</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17.3 %</w:t>
            </w:r>
          </w:p>
        </w:tc>
      </w:tr>
      <w:tr>
        <w:trPr>
          <w:trHeight w:val="220"/>
        </w:trPr>
        <w:tc>
          <w:tcPr>
            <w:tcW w:w="40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Non-cash impairment charges</w:t>
            </w:r>
            <w:r>
              <w:rPr>
                <w:rFonts w:ascii="Times New Roman" w:cs="Times New Roman" w:eastAsia="Times New Roman" w:hAnsi="Times New Roman"/>
                <w:sz w:val="21"/>
                <w:szCs w:val="21"/>
                <w:color w:val="auto"/>
                <w:vertAlign w:val="superscript"/>
              </w:rPr>
              <w:t>3</w:t>
            </w:r>
          </w:p>
        </w:tc>
        <w:tc>
          <w:tcPr>
            <w:tcW w:w="1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20"/>
        </w:trPr>
        <w:tc>
          <w:tcPr>
            <w:tcW w:w="400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4</w:t>
            </w:r>
          </w:p>
        </w:tc>
        <w:tc>
          <w:tcPr>
            <w:tcW w:w="1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1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effective tax rate</w:t>
            </w:r>
          </w:p>
        </w:tc>
        <w:tc>
          <w:tcPr>
            <w:tcW w:w="1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20.6 %</w:t>
            </w:r>
          </w:p>
        </w:tc>
      </w:tr>
      <w:tr>
        <w:trPr>
          <w:trHeight w:val="22"/>
        </w:trPr>
        <w:tc>
          <w:tcPr>
            <w:tcW w:w="4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hanging="139"/>
        <w:spacing w:after="0"/>
        <w:tabs>
          <w:tab w:leader="none" w:pos="22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January 13, 2022, we completed our acquisition of Intimidator Group. Acquisition-related costs for the nine month period ended August 4, 2023 represent integration costs.</w:t>
      </w:r>
    </w:p>
    <w:p>
      <w:pPr>
        <w:spacing w:after="0" w:line="94" w:lineRule="exact"/>
        <w:rPr>
          <w:sz w:val="20"/>
          <w:szCs w:val="20"/>
          <w:color w:val="auto"/>
        </w:rPr>
      </w:pPr>
    </w:p>
    <w:p>
      <w:pPr>
        <w:jc w:val="both"/>
        <w:ind w:left="240" w:hanging="159"/>
        <w:spacing w:after="0" w:line="234" w:lineRule="auto"/>
        <w:tabs>
          <w:tab w:leader="none" w:pos="227"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 the first quarter of fiscal 2024, we launched a significant productivity initiative named AMP, as discussed in more detail under the heading "Company Overview-Productivity Initiative" in this section. We considered the nature, frequency, and scale of this initiative compared to our prior productivity initiatives when determining that the expenses associated with AMP, unlike our prior productivity initiatives, are not common, normal, recurring operating expenses and are not representative of our ongoing business operations. Productivity initiative charges for the three and nine month periods ended August 2, 2024 primarily represent third-party consulting costs, product-line exit costs, asset write-offs, and compensation for fully-dedicated AMP personnel, partially offset by a gain on divestiture.</w:t>
      </w:r>
    </w:p>
    <w:p>
      <w:pPr>
        <w:spacing w:after="0" w:line="96" w:lineRule="exact"/>
        <w:rPr>
          <w:sz w:val="20"/>
          <w:szCs w:val="20"/>
          <w:color w:val="auto"/>
        </w:rPr>
      </w:pPr>
    </w:p>
    <w:p>
      <w:pPr>
        <w:ind w:left="240" w:hanging="159"/>
        <w:spacing w:after="0" w:line="220" w:lineRule="auto"/>
        <w:tabs>
          <w:tab w:leader="none" w:pos="24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At the end of the third quarter of fiscal 2023, the company recorded non-cash impairment charges within our Professional reportable segment related to the Intimidator operating segment, as discussed in more detail under the heading "Company Overview-Fiscal 2023 Impairment" in this section.</w:t>
      </w:r>
    </w:p>
    <w:p>
      <w:pPr>
        <w:spacing w:after="0" w:line="94" w:lineRule="exact"/>
        <w:rPr>
          <w:sz w:val="20"/>
          <w:szCs w:val="20"/>
          <w:color w:val="auto"/>
        </w:rPr>
      </w:pPr>
    </w:p>
    <w:p>
      <w:pPr>
        <w:jc w:val="both"/>
        <w:ind w:left="240" w:hanging="159"/>
        <w:spacing w:after="0" w:line="234" w:lineRule="auto"/>
        <w:tabs>
          <w:tab w:leader="none" w:pos="292"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nine month periods ended August 2, 2024 and August 4, 2023.</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Liquidity Measures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define free cash flow as net cash provided by operating activities less purchases of property, plant, and equipment, net of proceeds from insurance claim. Free cash flow conversion percentage represents free cash flow as a percentage of net earnings. We consider free cash flow and free cash flow conversion percentage to be non-GAAP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Condensed Consolidated Balance Sheets, after reinvesting in necessary capital expenditures required to maintain and grow our business. The following table provides a reconciliation of non-GAAP free cash flow and free cash flow conversion percentage to net cash provided by operating activities, which is the most directly comparable financial measure calculated and reported in accordance with U.S. GAAP, for the nine month periods ended August 2, 2024 and August 4, 2023:</w:t>
      </w:r>
    </w:p>
    <w:p>
      <w:pPr>
        <w:spacing w:after="0" w:line="103"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9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August 4, 2023</w:t>
            </w:r>
          </w:p>
        </w:tc>
      </w:tr>
      <w:tr>
        <w:trPr>
          <w:trHeight w:val="21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329.8</w:t>
            </w:r>
          </w:p>
        </w:tc>
        <w:tc>
          <w:tcPr>
            <w:tcW w:w="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154.7</w:t>
            </w:r>
          </w:p>
        </w:tc>
      </w:tr>
      <w:tr>
        <w:trPr>
          <w:trHeight w:val="217"/>
        </w:trPr>
        <w:tc>
          <w:tcPr>
            <w:tcW w:w="6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Purchases of property, plant, and equipment, net of proceeds from insurance claim</w:t>
            </w:r>
          </w:p>
        </w:tc>
        <w:tc>
          <w:tcPr>
            <w:tcW w:w="9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59.3</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98.6</w:t>
            </w:r>
          </w:p>
        </w:tc>
      </w:tr>
      <w:tr>
        <w:trPr>
          <w:trHeight w:val="216"/>
        </w:trPr>
        <w:tc>
          <w:tcPr>
            <w:tcW w:w="6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w:t>
            </w:r>
          </w:p>
        </w:tc>
        <w:tc>
          <w:tcPr>
            <w:tcW w:w="9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270.5</w:t>
            </w:r>
          </w:p>
        </w:tc>
        <w:tc>
          <w:tcPr>
            <w:tcW w:w="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56.1</w:t>
            </w:r>
          </w:p>
        </w:tc>
      </w:tr>
      <w:tr>
        <w:trPr>
          <w:trHeight w:val="217"/>
        </w:trPr>
        <w:tc>
          <w:tcPr>
            <w:tcW w:w="6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329.0</w:t>
            </w: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259.4</w:t>
            </w:r>
          </w:p>
        </w:tc>
      </w:tr>
      <w:tr>
        <w:trPr>
          <w:trHeight w:val="238"/>
        </w:trPr>
        <w:tc>
          <w:tcPr>
            <w:tcW w:w="66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 conversion percentage</w:t>
            </w:r>
          </w:p>
        </w:tc>
        <w:tc>
          <w:tcPr>
            <w:tcW w:w="9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82.2 %</w:t>
            </w: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r>
      <w:tr>
        <w:trPr>
          <w:trHeight w:val="20"/>
        </w:trPr>
        <w:tc>
          <w:tcPr>
            <w:tcW w:w="66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There have been no material changes to our critical accounting policies and estimates since our Annual Report on Form 10-K for the fiscal year ended October 31, 2023. Refer to Part II, Item 7, "Management’s Discussion and Analysis of Financial Condition and Results of Operations", and Part II, Item 8, Note 1, </w:t>
      </w:r>
      <w:r>
        <w:rPr>
          <w:rFonts w:ascii="Times New Roman" w:cs="Times New Roman" w:eastAsia="Times New Roman" w:hAnsi="Times New Roman"/>
          <w:sz w:val="17"/>
          <w:szCs w:val="17"/>
          <w:i w:val="1"/>
          <w:iCs w:val="1"/>
          <w:color w:val="auto"/>
        </w:rPr>
        <w:t>Summary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Significant Accounting Policies and Related Data</w:t>
      </w:r>
      <w:r>
        <w:rPr>
          <w:rFonts w:ascii="Times New Roman" w:cs="Times New Roman" w:eastAsia="Times New Roman" w:hAnsi="Times New Roman"/>
          <w:sz w:val="17"/>
          <w:szCs w:val="17"/>
          <w:color w:val="auto"/>
        </w:rPr>
        <w:t>, within our Annual Report on Form 10-K for the fiscal year ended October 31, 2023 for a discussion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critical accounting policies and estimates.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 QUANTITATIVE AND QUALITATIVE DISCLOSURES ABOUT MARKET RISK</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2023. Refer to Part II, Item 7A, "Quantitative and Qualitative Disclosures about Market Risk", within our Annual Report on Form 10-K for the fiscal year ended October 31, 2023 for a complete discussion of our market risk. Refer below for further discussion on foreign currency exchange rate risk, interest rate risk, and commodity cost risk.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To reduce our exposure to foreign currency exchange rate risk, we enter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refer to Note 16, </w:t>
      </w:r>
      <w:r>
        <w:rPr>
          <w:rFonts w:ascii="Times New Roman" w:cs="Times New Roman" w:eastAsia="Times New Roman" w:hAnsi="Times New Roman"/>
          <w:sz w:val="17"/>
          <w:szCs w:val="17"/>
          <w:i w:val="1"/>
          <w:iCs w:val="1"/>
          <w:color w:val="auto"/>
        </w:rPr>
        <w:t>Derivative Instruments and Hedging Activities</w:t>
      </w:r>
      <w:r>
        <w:rPr>
          <w:rFonts w:ascii="Times New Roman" w:cs="Times New Roman" w:eastAsia="Times New Roman" w:hAnsi="Times New Roman"/>
          <w:sz w:val="17"/>
          <w:szCs w:val="17"/>
          <w:color w:val="auto"/>
        </w:rPr>
        <w:t>, in our Notes to Condensed Consolidated Financial Statements included in Part I, Item 1 of this Quarterly Report on Form 10-Q.</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foreign currency exchange contracts in the table below have maturity dates in fiscal 2024 through fiscal 2026. All items are non-trading and stated in U.S. dollars. As of August 2, 2024, the average contracted rate, notional amount, fair value, and the gain (loss) at fair value of outstanding derivative instruments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 except average contracted rate)</w:t>
            </w:r>
          </w:p>
        </w:tc>
        <w:tc>
          <w:tcPr>
            <w:tcW w:w="230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Average Contracted</w:t>
            </w: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80" w:type="dxa"/>
            <w:vAlign w:val="bottom"/>
            <w:tcBorders>
              <w:top w:val="single" w:sz="8" w:color="auto"/>
            </w:tcBorders>
            <w:gridSpan w:val="2"/>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Gain (Loss) at Fair</w:t>
            </w:r>
          </w:p>
        </w:tc>
        <w:tc>
          <w:tcPr>
            <w:tcW w:w="0" w:type="dxa"/>
            <w:vAlign w:val="bottom"/>
          </w:tcPr>
          <w:p>
            <w:pPr>
              <w:spacing w:after="0"/>
              <w:rPr>
                <w:sz w:val="1"/>
                <w:szCs w:val="1"/>
                <w:color w:val="auto"/>
              </w:rPr>
            </w:pPr>
          </w:p>
        </w:tc>
      </w:tr>
      <w:tr>
        <w:trPr>
          <w:trHeight w:val="219"/>
        </w:trPr>
        <w:tc>
          <w:tcPr>
            <w:tcW w:w="4460" w:type="dxa"/>
            <w:vAlign w:val="bottom"/>
            <w:tcBorders>
              <w:bottom w:val="single" w:sz="8" w:color="auto"/>
            </w:tcBorders>
            <w:vMerge w:val="continue"/>
          </w:tcPr>
          <w:p>
            <w:pPr>
              <w:spacing w:after="0"/>
              <w:rPr>
                <w:sz w:val="19"/>
                <w:szCs w:val="19"/>
                <w:color w:val="auto"/>
              </w:rPr>
            </w:pPr>
          </w:p>
        </w:tc>
        <w:tc>
          <w:tcPr>
            <w:tcW w:w="23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Rate</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Australian dollar</w:t>
            </w:r>
          </w:p>
        </w:tc>
        <w:tc>
          <w:tcPr>
            <w:tcW w:w="2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0.6632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93.4</w:t>
            </w:r>
          </w:p>
        </w:tc>
        <w:tc>
          <w:tcPr>
            <w:tcW w:w="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center"/>
              <w:ind w:left="718"/>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217"/>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Canadian dollar</w:t>
            </w:r>
          </w:p>
        </w:tc>
        <w:tc>
          <w:tcPr>
            <w:tcW w:w="2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1.3485</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3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50.6</w:t>
            </w:r>
          </w:p>
        </w:tc>
        <w:tc>
          <w:tcPr>
            <w:tcW w:w="360" w:type="dxa"/>
            <w:vAlign w:val="bottom"/>
          </w:tcPr>
          <w:p>
            <w:pPr>
              <w:spacing w:after="0"/>
              <w:rPr>
                <w:sz w:val="18"/>
                <w:szCs w:val="18"/>
                <w:color w:val="auto"/>
              </w:rPr>
            </w:pPr>
          </w:p>
        </w:tc>
        <w:tc>
          <w:tcPr>
            <w:tcW w:w="1120" w:type="dxa"/>
            <w:vAlign w:val="bottom"/>
          </w:tcPr>
          <w:p>
            <w:pPr>
              <w:jc w:val="center"/>
              <w:ind w:left="718"/>
              <w:spacing w:after="0"/>
              <w:rPr>
                <w:sz w:val="20"/>
                <w:szCs w:val="20"/>
                <w:color w:val="auto"/>
              </w:rPr>
            </w:pPr>
            <w:r>
              <w:rPr>
                <w:rFonts w:ascii="Times New Roman" w:cs="Times New Roman" w:eastAsia="Times New Roman" w:hAnsi="Times New Roman"/>
                <w:sz w:val="16"/>
                <w:szCs w:val="16"/>
                <w:color w:val="auto"/>
                <w:w w:val="99"/>
              </w:rPr>
              <w:t>0.8</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Euro</w:t>
            </w:r>
          </w:p>
        </w:tc>
        <w:tc>
          <w:tcPr>
            <w:tcW w:w="2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1.1074</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178.4</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718"/>
              <w:spacing w:after="0"/>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217"/>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British pound</w:t>
            </w:r>
          </w:p>
        </w:tc>
        <w:tc>
          <w:tcPr>
            <w:tcW w:w="2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1.2586</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3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55.9</w:t>
            </w:r>
          </w:p>
        </w:tc>
        <w:tc>
          <w:tcPr>
            <w:tcW w:w="360" w:type="dxa"/>
            <w:vAlign w:val="bottom"/>
          </w:tcPr>
          <w:p>
            <w:pPr>
              <w:spacing w:after="0"/>
              <w:rPr>
                <w:sz w:val="18"/>
                <w:szCs w:val="18"/>
                <w:color w:val="auto"/>
              </w:rPr>
            </w:pPr>
          </w:p>
        </w:tc>
        <w:tc>
          <w:tcPr>
            <w:tcW w:w="1120" w:type="dxa"/>
            <w:vAlign w:val="bottom"/>
          </w:tcPr>
          <w:p>
            <w:pPr>
              <w:jc w:val="center"/>
              <w:ind w:left="678"/>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0"/>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Mexican peso/Sell U.S. dollar</w:t>
            </w:r>
          </w:p>
        </w:tc>
        <w:tc>
          <w:tcPr>
            <w:tcW w:w="2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19.2474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65.8</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center"/>
              <w:ind w:left="678"/>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Condensed Consolidated Balance Sheets, and would not impact net earnings.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interest rate risk relates primarily to fluctuations in variable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 Our indebtedness as of August 2, 2024 includes $524.2 million of gross fixed-rate long-term debt that is not subject to variable interest rate fluctuations, $470.0 million of gross variable rate debt under our term loan credit agreements. We had no outstanding borrowings under our variable rate revolving credit facility.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Cost Risk</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demand; inflation; deflation; changing prices; foreign currency fluctuations; tariffs; duties; trade regulatory actions; industry actions; and changes to international trade policies, agreements, and/or regulation and competitor activity, including antidumping and countervailing duties on certain products imported from foreign countries, such as certain engines imported into the U.S. from China.</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categories for commodities, components, parts, and accessories are generally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7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In any given period, we strategically attempt to mitigate potential unfavorable impact as a result of changes to the cost of commodities, components, parts, and accessories that affect our product lines through our productivity initiatives; however, our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SKU rationalization,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management evaluated, with the participation of our Chairman of the Board, President and Chief Executive Officer and our Vice President, Chief Financial Officer, the effectiveness of the design and operation of our disclosure controls and procedures as of the end of the period covered by this Quarterly Report on Form 10-Q. Based on that evaluation, our Chairman of the Board, President and Chief Executive Officer and our Vice President,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President and Chief Executive Officer and Vice President, Chief Financial Officer, as appropriate, to allow timely decisions regarding required disclosures.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the three month period ended August 2, 2024 that has materially affected, or is reasonably likely to materially affect, our internal control over financial reporting.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LEGAL PROCEEDINGS</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and employment-related disputes, and patent litigation cases. For a description of our material legal proceedings, refer to Note 14,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in our Notes to Condensed Consolidated Financial Statements under the heading "Litigation" included in Part I, Item 1 of this Quarterly Report on Form 10-Q, which is incorporated into this Part II, Item 1 by reference.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1A. RISK FACTORS</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are affected by risks specific to us, as well as factors that affect all businesses operating in a global market. The material risk factors known to us that could materially adversely affect our business, reputation, industry, operating results, or financial position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p>
      <w:pPr>
        <w:spacing w:after="0" w:line="11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shares of the company's common stock purchased by the company during each of the three fiscal months in the company's third quarter ended August 2,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60" w:type="dxa"/>
            <w:vAlign w:val="bottom"/>
            <w:tcBorders>
              <w:top w:val="single" w:sz="8" w:color="auto"/>
            </w:tcBorders>
          </w:tcPr>
          <w:p>
            <w:pPr>
              <w:spacing w:after="0"/>
              <w:rPr>
                <w:sz w:val="14"/>
                <w:szCs w:val="14"/>
                <w:color w:val="auto"/>
              </w:rPr>
            </w:pPr>
          </w:p>
        </w:tc>
        <w:tc>
          <w:tcPr>
            <w:tcW w:w="25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 of</w:t>
            </w:r>
          </w:p>
        </w:tc>
        <w:tc>
          <w:tcPr>
            <w:tcW w:w="0" w:type="dxa"/>
            <w:vAlign w:val="bottom"/>
          </w:tcPr>
          <w:p>
            <w:pPr>
              <w:spacing w:after="0"/>
              <w:rPr>
                <w:sz w:val="1"/>
                <w:szCs w:val="1"/>
                <w:color w:val="auto"/>
              </w:rPr>
            </w:pPr>
          </w:p>
        </w:tc>
      </w:tr>
      <w:tr>
        <w:trPr>
          <w:trHeight w:val="168"/>
        </w:trPr>
        <w:tc>
          <w:tcPr>
            <w:tcW w:w="37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(or Units)</w:t>
            </w: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60" w:type="dxa"/>
            <w:vAlign w:val="bottom"/>
          </w:tcPr>
          <w:p>
            <w:pPr>
              <w:spacing w:after="0"/>
              <w:rPr>
                <w:sz w:val="13"/>
                <w:szCs w:val="13"/>
                <w:color w:val="auto"/>
              </w:rPr>
            </w:pPr>
          </w:p>
        </w:tc>
        <w:tc>
          <w:tcPr>
            <w:tcW w:w="2560" w:type="dxa"/>
            <w:vAlign w:val="bottom"/>
            <w:vMerge w:val="restart"/>
          </w:tcPr>
          <w:p>
            <w:pPr>
              <w:jc w:val="center"/>
              <w:ind w:left="998"/>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Purchased As</w:t>
            </w:r>
          </w:p>
        </w:tc>
        <w:tc>
          <w:tcPr>
            <w:tcW w:w="17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Shares (or Units) that</w:t>
            </w:r>
          </w:p>
        </w:tc>
        <w:tc>
          <w:tcPr>
            <w:tcW w:w="0" w:type="dxa"/>
            <w:vAlign w:val="bottom"/>
          </w:tcPr>
          <w:p>
            <w:pPr>
              <w:spacing w:after="0"/>
              <w:rPr>
                <w:sz w:val="1"/>
                <w:szCs w:val="1"/>
                <w:color w:val="auto"/>
              </w:rPr>
            </w:pPr>
          </w:p>
        </w:tc>
      </w:tr>
      <w:tr>
        <w:trPr>
          <w:trHeight w:val="168"/>
        </w:trPr>
        <w:tc>
          <w:tcPr>
            <w:tcW w:w="3760" w:type="dxa"/>
            <w:vAlign w:val="bottom"/>
          </w:tcPr>
          <w:p>
            <w:pPr>
              <w:spacing w:after="0"/>
              <w:rPr>
                <w:sz w:val="14"/>
                <w:szCs w:val="14"/>
                <w:color w:val="auto"/>
              </w:rPr>
            </w:pPr>
          </w:p>
        </w:tc>
        <w:tc>
          <w:tcPr>
            <w:tcW w:w="2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18"/>
              <w:spacing w:after="0" w:line="168" w:lineRule="exact"/>
              <w:rPr>
                <w:sz w:val="20"/>
                <w:szCs w:val="20"/>
                <w:color w:val="auto"/>
              </w:rPr>
            </w:pPr>
            <w:r>
              <w:rPr>
                <w:rFonts w:ascii="Times New Roman" w:cs="Times New Roman" w:eastAsia="Times New Roman" w:hAnsi="Times New Roman"/>
                <w:sz w:val="16"/>
                <w:szCs w:val="16"/>
                <w:b w:val="1"/>
                <w:bCs w:val="1"/>
                <w:color w:val="auto"/>
              </w:rPr>
              <w:t>Price Paid</w:t>
            </w:r>
          </w:p>
        </w:tc>
        <w:tc>
          <w:tcPr>
            <w:tcW w:w="18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7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68"/>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560" w:type="dxa"/>
            <w:vAlign w:val="bottom"/>
          </w:tcPr>
          <w:p>
            <w:pPr>
              <w:jc w:val="center"/>
              <w:ind w:left="998"/>
              <w:spacing w:after="0" w:line="168" w:lineRule="exact"/>
              <w:rPr>
                <w:sz w:val="20"/>
                <w:szCs w:val="20"/>
                <w:color w:val="auto"/>
              </w:rPr>
            </w:pPr>
            <w:r>
              <w:rPr>
                <w:rFonts w:ascii="Times New Roman" w:cs="Times New Roman" w:eastAsia="Times New Roman" w:hAnsi="Times New Roman"/>
                <w:sz w:val="16"/>
                <w:szCs w:val="16"/>
                <w:b w:val="1"/>
                <w:bCs w:val="1"/>
                <w:color w:val="auto"/>
              </w:rPr>
              <w:t>Shares (or Units)</w:t>
            </w:r>
          </w:p>
        </w:tc>
        <w:tc>
          <w:tcPr>
            <w:tcW w:w="220" w:type="dxa"/>
            <w:vAlign w:val="bottom"/>
          </w:tcPr>
          <w:p>
            <w:pPr>
              <w:spacing w:after="0"/>
              <w:rPr>
                <w:sz w:val="14"/>
                <w:szCs w:val="14"/>
                <w:color w:val="auto"/>
              </w:rPr>
            </w:pPr>
          </w:p>
        </w:tc>
        <w:tc>
          <w:tcPr>
            <w:tcW w:w="1040" w:type="dxa"/>
            <w:vAlign w:val="bottom"/>
          </w:tcPr>
          <w:p>
            <w:pPr>
              <w:jc w:val="center"/>
              <w:ind w:right="118"/>
              <w:spacing w:after="0" w:line="168" w:lineRule="exact"/>
              <w:rPr>
                <w:sz w:val="20"/>
                <w:szCs w:val="20"/>
                <w:color w:val="auto"/>
              </w:rPr>
            </w:pPr>
            <w:r>
              <w:rPr>
                <w:rFonts w:ascii="Times New Roman" w:cs="Times New Roman" w:eastAsia="Times New Roman" w:hAnsi="Times New Roman"/>
                <w:sz w:val="16"/>
                <w:szCs w:val="16"/>
                <w:b w:val="1"/>
                <w:bCs w:val="1"/>
                <w:color w:val="auto"/>
              </w:rPr>
              <w:t>per Share</w:t>
            </w:r>
          </w:p>
        </w:tc>
        <w:tc>
          <w:tcPr>
            <w:tcW w:w="18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7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20"/>
        </w:trPr>
        <w:tc>
          <w:tcPr>
            <w:tcW w:w="3760" w:type="dxa"/>
            <w:vAlign w:val="bottom"/>
            <w:tcBorders>
              <w:bottom w:val="single" w:sz="8" w:color="auto"/>
            </w:tcBorders>
            <w:vMerge w:val="continue"/>
          </w:tcPr>
          <w:p>
            <w:pPr>
              <w:spacing w:after="0"/>
              <w:rPr>
                <w:sz w:val="19"/>
                <w:szCs w:val="19"/>
                <w:color w:val="auto"/>
              </w:rPr>
            </w:pPr>
          </w:p>
        </w:tc>
        <w:tc>
          <w:tcPr>
            <w:tcW w:w="2560" w:type="dxa"/>
            <w:vAlign w:val="bottom"/>
            <w:tcBorders>
              <w:bottom w:val="single" w:sz="8" w:color="auto"/>
            </w:tcBorders>
          </w:tcPr>
          <w:p>
            <w:pPr>
              <w:jc w:val="center"/>
              <w:ind w:left="998"/>
              <w:spacing w:after="0" w:line="220" w:lineRule="exact"/>
              <w:rPr>
                <w:sz w:val="20"/>
                <w:szCs w:val="20"/>
                <w:color w:val="auto"/>
              </w:rPr>
            </w:pPr>
            <w:r>
              <w:rPr>
                <w:rFonts w:ascii="Times New Roman" w:cs="Times New Roman" w:eastAsia="Times New Roman" w:hAnsi="Times New Roman"/>
                <w:sz w:val="16"/>
                <w:szCs w:val="16"/>
                <w:b w:val="1"/>
                <w:bCs w:val="1"/>
                <w:color w:val="auto"/>
                <w:w w:val="95"/>
              </w:rPr>
              <w:t>Purchased</w:t>
            </w:r>
            <w:r>
              <w:rPr>
                <w:rFonts w:ascii="Times New Roman" w:cs="Times New Roman" w:eastAsia="Times New Roman" w:hAnsi="Times New Roman"/>
                <w:sz w:val="21"/>
                <w:szCs w:val="21"/>
                <w:b w:val="1"/>
                <w:bCs w:val="1"/>
                <w:color w:val="auto"/>
                <w:w w:val="95"/>
                <w:vertAlign w:val="superscript"/>
              </w:rPr>
              <w:t>1,2,3</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(or Unit)</w:t>
            </w:r>
          </w:p>
        </w:tc>
        <w:tc>
          <w:tcPr>
            <w:tcW w:w="188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1"/>
                <w:szCs w:val="21"/>
                <w:b w:val="1"/>
                <w:bCs w:val="1"/>
                <w:color w:val="auto"/>
                <w:w w:val="96"/>
                <w:vertAlign w:val="superscript"/>
              </w:rPr>
              <w:t>1,2</w:t>
            </w:r>
          </w:p>
        </w:tc>
        <w:tc>
          <w:tcPr>
            <w:tcW w:w="178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1"/>
                <w:szCs w:val="21"/>
                <w:b w:val="1"/>
                <w:bCs w:val="1"/>
                <w:color w:val="auto"/>
                <w:w w:val="96"/>
                <w:vertAlign w:val="superscript"/>
              </w:rPr>
              <w:t>1,2</w:t>
            </w:r>
          </w:p>
        </w:tc>
        <w:tc>
          <w:tcPr>
            <w:tcW w:w="0" w:type="dxa"/>
            <w:vAlign w:val="bottom"/>
          </w:tcPr>
          <w:p>
            <w:pPr>
              <w:spacing w:after="0"/>
              <w:rPr>
                <w:sz w:val="1"/>
                <w:szCs w:val="1"/>
                <w:color w:val="auto"/>
              </w:rPr>
            </w:pPr>
          </w:p>
        </w:tc>
      </w:tr>
      <w:tr>
        <w:trPr>
          <w:trHeight w:val="21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4, 2024 through May 31, 2024</w:t>
            </w:r>
          </w:p>
        </w:tc>
        <w:tc>
          <w:tcPr>
            <w:tcW w:w="25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112,812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88.64</w:t>
            </w:r>
          </w:p>
        </w:tc>
        <w:tc>
          <w:tcPr>
            <w:tcW w:w="18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112,812</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6,724,524</w:t>
            </w:r>
          </w:p>
        </w:tc>
        <w:tc>
          <w:tcPr>
            <w:tcW w:w="0" w:type="dxa"/>
            <w:vAlign w:val="bottom"/>
          </w:tcPr>
          <w:p>
            <w:pPr>
              <w:spacing w:after="0"/>
              <w:rPr>
                <w:sz w:val="1"/>
                <w:szCs w:val="1"/>
                <w:color w:val="auto"/>
              </w:rPr>
            </w:pPr>
          </w:p>
        </w:tc>
      </w:tr>
      <w:tr>
        <w:trPr>
          <w:trHeight w:val="21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1, 2024 through June 28, 2024</w:t>
            </w:r>
          </w:p>
        </w:tc>
        <w:tc>
          <w:tcPr>
            <w:tcW w:w="2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380,234</w:t>
            </w:r>
          </w:p>
        </w:tc>
        <w:tc>
          <w:tcPr>
            <w:tcW w:w="220" w:type="dxa"/>
            <w:vAlign w:val="bottom"/>
          </w:tcPr>
          <w:p>
            <w:pPr>
              <w:spacing w:after="0"/>
              <w:rPr>
                <w:sz w:val="18"/>
                <w:szCs w:val="18"/>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94.18</w:t>
            </w:r>
          </w:p>
        </w:tc>
        <w:tc>
          <w:tcPr>
            <w:tcW w:w="18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380,234</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6,344,290</w:t>
            </w:r>
          </w:p>
        </w:tc>
        <w:tc>
          <w:tcPr>
            <w:tcW w:w="0" w:type="dxa"/>
            <w:vAlign w:val="bottom"/>
          </w:tcPr>
          <w:p>
            <w:pPr>
              <w:spacing w:after="0"/>
              <w:rPr>
                <w:sz w:val="1"/>
                <w:szCs w:val="1"/>
                <w:color w:val="auto"/>
              </w:rPr>
            </w:pPr>
          </w:p>
        </w:tc>
      </w:tr>
      <w:tr>
        <w:trPr>
          <w:trHeight w:val="220"/>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29, 2024 through August 2, 2024</w:t>
            </w:r>
          </w:p>
        </w:tc>
        <w:tc>
          <w:tcPr>
            <w:tcW w:w="25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574,190</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92.02</w:t>
            </w:r>
          </w:p>
        </w:tc>
        <w:tc>
          <w:tcPr>
            <w:tcW w:w="18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572,873</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5,771,417</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5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1,067,236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92.43</w:t>
            </w:r>
          </w:p>
        </w:tc>
        <w:tc>
          <w:tcPr>
            <w:tcW w:w="18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1,065,919</w:t>
            </w:r>
          </w:p>
        </w:tc>
        <w:tc>
          <w:tcPr>
            <w:tcW w:w="1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7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left="160" w:hanging="157"/>
        <w:spacing w:after="0" w:line="255" w:lineRule="auto"/>
        <w:tabs>
          <w:tab w:leader="none" w:pos="148"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December 4, 2018, the company’s Board of Directors authorized the repurchase of 5,000,000 shares of the company’s common stock in open-market or privately negotiated transactions. This authorized stock repurchase program has no expiration date but may be terminated by the company’s Board of Directors at any time. The company repurchased 1,065,919 shares under this program during the period indicated above and as a result, 771,417 shares remained available to repurchase under this authorized stock repurchase program as of August 2, 2024.</w:t>
      </w:r>
    </w:p>
    <w:p>
      <w:pPr>
        <w:spacing w:after="0" w:line="71" w:lineRule="exact"/>
        <w:rPr>
          <w:sz w:val="20"/>
          <w:szCs w:val="20"/>
          <w:color w:val="auto"/>
        </w:rPr>
      </w:pPr>
    </w:p>
    <w:p>
      <w:pPr>
        <w:jc w:val="both"/>
        <w:ind w:left="160" w:hanging="157"/>
        <w:spacing w:after="0" w:line="229" w:lineRule="auto"/>
        <w:tabs>
          <w:tab w:leader="none" w:pos="225"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13, 2022, the company’s Board of Directors authorized the repurchase of an additional 5,000,000 shares of the company’s common stock in open-market or privately negotiated transactions. This authorized stock repurchase program has no expiration date but may be terminated by the company’s Board of Directors at any time. No shares were repurchased under this program during the time period indicated above.</w:t>
      </w:r>
    </w:p>
    <w:p>
      <w:pPr>
        <w:spacing w:after="0" w:line="95" w:lineRule="exact"/>
        <w:rPr>
          <w:sz w:val="20"/>
          <w:szCs w:val="20"/>
          <w:color w:val="auto"/>
        </w:rPr>
      </w:pPr>
    </w:p>
    <w:p>
      <w:pPr>
        <w:jc w:val="both"/>
        <w:ind w:left="160" w:hanging="157"/>
        <w:spacing w:after="0" w:line="229" w:lineRule="auto"/>
        <w:tabs>
          <w:tab w:leader="none" w:pos="199"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1,317 shares of the company’s common stock purchased in open-market transactions at an average price of $91.33 per share on behalf of a rabbi trust formed to pay benefit obligations of the company to participants in the company's deferred compensation plans. These 1,317 shares were not repurchased under the company’s authorized stock repurchase programs described in notes 1 and 2 above.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5.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Plan and Non-Rule 10b5-1 Trading Arrangement Adoptions, Terminations, and Modifications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During the company’s third quarter ended August 2, 2024, none of its directors or “officers” (as defined in Rule 16a-1(f) under the Exchange Act) adopted or terminated a “Rule 10b5-1 trading arrangement” or “non-Rule 10b5-1 trading arrangement,” as each term is defined in Item 408 of SEC Regulation S-K.</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6. EXHIBITS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12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3540" w:type="dxa"/>
            <w:vAlign w:val="bottom"/>
            <w:tcBorders>
              <w:top w:val="single" w:sz="8" w:color="auto"/>
              <w:bottom w:val="single" w:sz="8" w:color="auto"/>
            </w:tcBorders>
          </w:tcPr>
          <w:p>
            <w:pPr>
              <w:spacing w:after="0"/>
              <w:rPr>
                <w:sz w:val="20"/>
                <w:szCs w:val="20"/>
                <w:color w:val="auto"/>
              </w:rPr>
            </w:pPr>
          </w:p>
        </w:tc>
        <w:tc>
          <w:tcPr>
            <w:tcW w:w="6160" w:type="dxa"/>
            <w:vAlign w:val="bottom"/>
            <w:tcBorders>
              <w:top w:val="single" w:sz="8" w:color="auto"/>
              <w:bottom w:val="single" w:sz="8" w:color="auto"/>
            </w:tcBorders>
            <w:gridSpan w:val="17"/>
          </w:tcPr>
          <w:p>
            <w:pPr>
              <w:ind w:left="8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3"/>
                <w:szCs w:val="13"/>
                <w:color w:val="auto"/>
              </w:rPr>
            </w:pPr>
          </w:p>
        </w:tc>
        <w:tc>
          <w:tcPr>
            <w:tcW w:w="12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3.1 and 4.1</w:t>
            </w:r>
          </w:p>
        </w:tc>
        <w:tc>
          <w:tcPr>
            <w:tcW w:w="9700" w:type="dxa"/>
            <w:vAlign w:val="bottom"/>
            <w:gridSpan w:val="18"/>
          </w:tcPr>
          <w:p>
            <w:pPr>
              <w:spacing w:after="0" w:line="161"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Restated Certificate of Incorporation of The Toro Company (incorporated by reference to Exhibit 3.1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20" w:type="dxa"/>
            <w:vAlign w:val="bottom"/>
            <w:tcBorders>
              <w:top w:val="single" w:sz="8" w:color="0000FF"/>
              <w:bottom w:val="single" w:sz="8" w:color="0000FF"/>
            </w:tcBorders>
            <w:gridSpan w:val="4"/>
          </w:tcPr>
          <w:p>
            <w:pPr>
              <w:spacing w:after="0" w:line="135" w:lineRule="exact"/>
              <w:rPr>
                <w:rFonts w:ascii="Times New Roman" w:cs="Times New Roman" w:eastAsia="Times New Roman" w:hAnsi="Times New Roman"/>
                <w:sz w:val="15"/>
                <w:szCs w:val="15"/>
                <w:color w:val="0000FF"/>
              </w:rPr>
            </w:pPr>
            <w:hyperlink r:id="rId57">
              <w:r>
                <w:rPr>
                  <w:rFonts w:ascii="Times New Roman" w:cs="Times New Roman" w:eastAsia="Times New Roman" w:hAnsi="Times New Roman"/>
                  <w:sz w:val="15"/>
                  <w:szCs w:val="15"/>
                  <w:color w:val="0000FF"/>
                </w:rPr>
                <w:t>as filed with the Securities and Exchange Commission on June 18, 2008, Commission File No. 1-8649).</w:t>
              </w:r>
            </w:hyperlink>
          </w:p>
        </w:tc>
        <w:tc>
          <w:tcPr>
            <w:tcW w:w="278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 and 4.2</w:t>
            </w:r>
          </w:p>
        </w:tc>
        <w:tc>
          <w:tcPr>
            <w:tcW w:w="9700" w:type="dxa"/>
            <w:vAlign w:val="bottom"/>
            <w:gridSpan w:val="18"/>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Certificate of Amendment to Restated Certificate of Incorporation of The Toro Company (incorporated by reference to Exhibit 3.1 to Registrant’s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40" w:type="dxa"/>
            <w:vAlign w:val="bottom"/>
            <w:tcBorders>
              <w:top w:val="single" w:sz="8" w:color="0000FF"/>
            </w:tcBorders>
            <w:gridSpan w:val="15"/>
          </w:tcPr>
          <w:p>
            <w:pPr>
              <w:spacing w:after="0" w:line="135" w:lineRule="exact"/>
              <w:rPr>
                <w:rFonts w:ascii="Times New Roman" w:cs="Times New Roman" w:eastAsia="Times New Roman" w:hAnsi="Times New Roman"/>
                <w:sz w:val="15"/>
                <w:szCs w:val="15"/>
                <w:color w:val="0000FF"/>
              </w:rPr>
            </w:pPr>
            <w:hyperlink r:id="rId58">
              <w:r>
                <w:rPr>
                  <w:rFonts w:ascii="Times New Roman" w:cs="Times New Roman" w:eastAsia="Times New Roman" w:hAnsi="Times New Roman"/>
                  <w:sz w:val="15"/>
                  <w:szCs w:val="15"/>
                  <w:color w:val="0000FF"/>
                </w:rPr>
                <w:t>Current Report on Form 8-K as filed with the Securities and Exchange Commission on March 13, 2013, Commission File No. 1-8649).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3.3 and 4.3</w:t>
            </w:r>
          </w:p>
        </w:tc>
        <w:tc>
          <w:tcPr>
            <w:tcW w:w="354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Amended and Restated Bylaws of The Toro Company (incorporated by reference to Exhibit 3.1 to Registrant’s Current Report on Form 8-K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40" w:type="dxa"/>
            <w:vAlign w:val="bottom"/>
            <w:tcBorders>
              <w:top w:val="single" w:sz="8" w:color="0000FF"/>
              <w:bottom w:val="single" w:sz="8" w:color="0000FF"/>
            </w:tcBorders>
            <w:gridSpan w:val="2"/>
          </w:tcPr>
          <w:p>
            <w:pPr>
              <w:spacing w:after="0" w:line="135" w:lineRule="exact"/>
              <w:rPr>
                <w:rFonts w:ascii="Times New Roman" w:cs="Times New Roman" w:eastAsia="Times New Roman" w:hAnsi="Times New Roman"/>
                <w:sz w:val="15"/>
                <w:szCs w:val="15"/>
                <w:color w:val="0000FF"/>
              </w:rPr>
            </w:pPr>
            <w:hyperlink r:id="rId59">
              <w:r>
                <w:rPr>
                  <w:rFonts w:ascii="Times New Roman" w:cs="Times New Roman" w:eastAsia="Times New Roman" w:hAnsi="Times New Roman"/>
                  <w:sz w:val="15"/>
                  <w:szCs w:val="15"/>
                  <w:color w:val="0000FF"/>
                </w:rPr>
                <w:t>filed with the Securities and Exchange Commission on May 30, 2023, Commission File No. 1-8649).</w:t>
              </w:r>
            </w:hyperlink>
          </w:p>
        </w:tc>
        <w:tc>
          <w:tcPr>
            <w:tcW w:w="300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4.4</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Indenture dated as of January 31, 1997, between The Toro Company and First National Trust Association, as Trustee, relating to The Toro</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00" w:type="dxa"/>
            <w:vAlign w:val="bottom"/>
            <w:gridSpan w:val="18"/>
          </w:tcPr>
          <w:p>
            <w:pPr>
              <w:spacing w:after="0" w:line="159" w:lineRule="exact"/>
              <w:rPr>
                <w:sz w:val="20"/>
                <w:szCs w:val="20"/>
                <w:color w:val="auto"/>
              </w:rPr>
            </w:pPr>
            <w:r>
              <w:rPr>
                <w:rFonts w:ascii="Times New Roman" w:cs="Times New Roman" w:eastAsia="Times New Roman" w:hAnsi="Times New Roman"/>
                <w:sz w:val="16"/>
                <w:szCs w:val="16"/>
                <w:color w:val="auto"/>
              </w:rPr>
              <w:t>Company’s 7.80% Debentures due June 15, 2027 (incorporated by reference to Exhibit 4(a) to Registrant’s Current Report on Form 8-K as filed</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auto"/>
              </w:rPr>
              <w:t>with the Securities and Exchange Commission on June 27, 1997, Commission File No. 1-8649). (Filed on paper - hyperlink is not required</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pursuant to Rule 105 of Regulation S-T).</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4.5</w:t>
            </w:r>
          </w:p>
        </w:tc>
        <w:tc>
          <w:tcPr>
            <w:tcW w:w="9700" w:type="dxa"/>
            <w:vAlign w:val="bottom"/>
            <w:gridSpan w:val="18"/>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Indenture dated as of April 20, 2007, between The Toro Company and The Bank of New York Trust Company, N.A., as Trustee, relating to The</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540" w:type="dxa"/>
            <w:vAlign w:val="bottom"/>
            <w:tcBorders>
              <w:top w:val="single" w:sz="8" w:color="0000FF"/>
              <w:bottom w:val="single" w:sz="8" w:color="0000FF"/>
            </w:tcBorders>
            <w:gridSpan w:val="10"/>
          </w:tcPr>
          <w:p>
            <w:pPr>
              <w:spacing w:after="0" w:line="135" w:lineRule="exact"/>
              <w:rPr>
                <w:rFonts w:ascii="Times New Roman" w:cs="Times New Roman" w:eastAsia="Times New Roman" w:hAnsi="Times New Roman"/>
                <w:sz w:val="15"/>
                <w:szCs w:val="15"/>
                <w:color w:val="0000FF"/>
              </w:rPr>
            </w:pPr>
            <w:hyperlink r:id="rId60">
              <w:r>
                <w:rPr>
                  <w:rFonts w:ascii="Times New Roman" w:cs="Times New Roman" w:eastAsia="Times New Roman" w:hAnsi="Times New Roman"/>
                  <w:sz w:val="15"/>
                  <w:szCs w:val="15"/>
                  <w:color w:val="0000FF"/>
                </w:rPr>
                <w:t>Toro Company’s 6.625% Notes due May 1, 2037 (incorporated by reference to Exhibit 4.3 to Registrant’s Registration Statement on Form S-3</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580" w:type="dxa"/>
            <w:vAlign w:val="bottom"/>
            <w:gridSpan w:val="12"/>
          </w:tcPr>
          <w:p>
            <w:pPr>
              <w:spacing w:after="0" w:line="148"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filed with the Securities and Exchange Commission on April 23, 2007, Registration No. 333-142282).</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4.6</w:t>
            </w:r>
          </w:p>
        </w:tc>
        <w:tc>
          <w:tcPr>
            <w:tcW w:w="3540" w:type="dxa"/>
            <w:vAlign w:val="bottom"/>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First Supplemental Indenture dated as of April 26, 2007, between The Toro Company and The Bank of New York Trust Company, N.A.,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60" w:type="dxa"/>
            <w:vAlign w:val="bottom"/>
            <w:tcBorders>
              <w:top w:val="single" w:sz="8" w:color="0000FF"/>
            </w:tcBorders>
            <w:gridSpan w:val="16"/>
          </w:tcPr>
          <w:p>
            <w:pPr>
              <w:spacing w:after="0" w:line="135" w:lineRule="exact"/>
              <w:rPr>
                <w:rFonts w:ascii="Times New Roman" w:cs="Times New Roman" w:eastAsia="Times New Roman" w:hAnsi="Times New Roman"/>
                <w:sz w:val="15"/>
                <w:szCs w:val="15"/>
                <w:color w:val="0000FF"/>
              </w:rPr>
            </w:pPr>
            <w:hyperlink r:id="rId61">
              <w:r>
                <w:rPr>
                  <w:rFonts w:ascii="Times New Roman" w:cs="Times New Roman" w:eastAsia="Times New Roman" w:hAnsi="Times New Roman"/>
                  <w:sz w:val="15"/>
                  <w:szCs w:val="15"/>
                  <w:color w:val="0000FF"/>
                </w:rPr>
                <w:t>Trustee, relating to The Toro Company’s 6.625% Notes due May 1, 2037 (incorporated by reference to Exhibit 4.1 to Registrant’s Current Report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760" w:type="dxa"/>
            <w:vAlign w:val="bottom"/>
            <w:tcBorders>
              <w:top w:val="single" w:sz="8" w:color="0000FF"/>
              <w:bottom w:val="single" w:sz="8" w:color="0000FF"/>
            </w:tcBorders>
            <w:gridSpan w:val="6"/>
          </w:tcPr>
          <w:p>
            <w:pPr>
              <w:spacing w:after="0" w:line="148"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on Form 8-K as filed with the Securities and Exchange Commission on April 26, 2007, Commission File No. 1-8649).</w:t>
              </w:r>
            </w:hyperlink>
          </w:p>
        </w:tc>
        <w:tc>
          <w:tcPr>
            <w:tcW w:w="1800" w:type="dxa"/>
            <w:vAlign w:val="bottom"/>
            <w:tcBorders>
              <w:top w:val="single" w:sz="8" w:color="0000FF"/>
            </w:tcBorders>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4.7</w:t>
            </w:r>
          </w:p>
        </w:tc>
        <w:tc>
          <w:tcPr>
            <w:tcW w:w="9700" w:type="dxa"/>
            <w:vAlign w:val="bottom"/>
            <w:gridSpan w:val="18"/>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Form of The Toro Company 6.625% Note due May 1, 2037 (incorporated by reference to Exhibit 4.2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80" w:type="dxa"/>
            <w:vAlign w:val="bottom"/>
            <w:tcBorders>
              <w:top w:val="single" w:sz="8" w:color="0000FF"/>
            </w:tcBorders>
            <w:gridSpan w:val="17"/>
          </w:tcPr>
          <w:p>
            <w:pPr>
              <w:spacing w:after="0" w:line="135" w:lineRule="exact"/>
              <w:rPr>
                <w:rFonts w:ascii="Times New Roman" w:cs="Times New Roman" w:eastAsia="Times New Roman" w:hAnsi="Times New Roman"/>
                <w:sz w:val="15"/>
                <w:szCs w:val="15"/>
                <w:color w:val="0000FF"/>
              </w:rPr>
            </w:pPr>
            <w:hyperlink r:id="rId62">
              <w:r>
                <w:rPr>
                  <w:rFonts w:ascii="Times New Roman" w:cs="Times New Roman" w:eastAsia="Times New Roman" w:hAnsi="Times New Roman"/>
                  <w:sz w:val="15"/>
                  <w:szCs w:val="15"/>
                  <w:color w:val="0000FF"/>
                </w:rPr>
                <w:t>as filed with the Securities and Exchange Commission on April 26, 2007, Commission File No. 1-8649).</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31.1</w:t>
            </w:r>
          </w:p>
        </w:tc>
        <w:tc>
          <w:tcPr>
            <w:tcW w:w="3540" w:type="dxa"/>
            <w:vAlign w:val="bottom"/>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(Section 302 of the Sarbanes-Oxley Act of 2002) (filed herewith).</w:t>
            </w: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31.2</w:t>
            </w:r>
          </w:p>
        </w:tc>
        <w:tc>
          <w:tcPr>
            <w:tcW w:w="87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(Section 302 of the Sarbanes-Oxley Act of 2002) (filed herewith).</w:t>
            </w:r>
          </w:p>
        </w:tc>
        <w:tc>
          <w:tcPr>
            <w:tcW w:w="40" w:type="dxa"/>
            <w:vAlign w:val="bottom"/>
            <w:tcBorders>
              <w:top w:val="single" w:sz="8" w:color="0000FF"/>
            </w:tcBorders>
          </w:tcPr>
          <w:p>
            <w:pPr>
              <w:spacing w:after="0"/>
              <w:rPr>
                <w:sz w:val="21"/>
                <w:szCs w:val="21"/>
                <w:color w:val="auto"/>
              </w:rPr>
            </w:pPr>
          </w:p>
        </w:tc>
        <w:tc>
          <w:tcPr>
            <w:tcW w:w="9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540" w:type="dxa"/>
            <w:vAlign w:val="bottom"/>
            <w:tcBorders>
              <w:top w:val="single" w:sz="8" w:color="0000FF"/>
              <w:bottom w:val="single" w:sz="8" w:color="0000FF"/>
            </w:tcBorders>
          </w:tcPr>
          <w:p>
            <w:pPr>
              <w:spacing w:after="0" w:line="135" w:lineRule="exact"/>
              <w:rPr>
                <w:sz w:val="20"/>
                <w:szCs w:val="20"/>
                <w:color w:val="auto"/>
              </w:rPr>
            </w:pPr>
            <w:r>
              <w:rPr>
                <w:rFonts w:ascii="Times New Roman" w:cs="Times New Roman" w:eastAsia="Times New Roman" w:hAnsi="Times New Roman"/>
                <w:sz w:val="15"/>
                <w:szCs w:val="15"/>
                <w:color w:val="0000FF"/>
              </w:rPr>
              <w:t>the Sarbanes-Oxley Act of 2002 (furnished herewith).</w:t>
            </w:r>
          </w:p>
        </w:tc>
        <w:tc>
          <w:tcPr>
            <w:tcW w:w="6080" w:type="dxa"/>
            <w:vAlign w:val="bottom"/>
            <w:tcBorders>
              <w:top w:val="single" w:sz="8" w:color="0000FF"/>
            </w:tcBorders>
            <w:gridSpan w:val="13"/>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left="1680" w:right="20" w:hanging="1259"/>
        <w:spacing w:after="0" w:line="221" w:lineRule="auto"/>
        <w:tabs>
          <w:tab w:leader="none" w:pos="1680"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financial information from The Toro Company’s Quarterly Report on Form 10-Q for the quarterly period ended August 2, 2024, filed with the SEC on September 5, 2024, formatted in Inline eXtensible Business Reporting Language (Inline XBRL): (i) Condensed Consolidated Statements of Earnings (Loss) for the three and nine month periods ended August 2, 2024 and August 4, 2023, (ii) Condensed</w:t>
      </w:r>
    </w:p>
    <w:p>
      <w:pPr>
        <w:ind w:left="1680"/>
        <w:spacing w:after="0" w:line="203" w:lineRule="auto"/>
        <w:rPr>
          <w:sz w:val="20"/>
          <w:szCs w:val="20"/>
          <w:color w:val="auto"/>
        </w:rPr>
      </w:pPr>
      <w:r>
        <w:rPr>
          <w:rFonts w:ascii="Times New Roman" w:cs="Times New Roman" w:eastAsia="Times New Roman" w:hAnsi="Times New Roman"/>
          <w:sz w:val="16"/>
          <w:szCs w:val="16"/>
          <w:color w:val="auto"/>
        </w:rPr>
        <w:t>Consolidated Statements of Comprehensive Income (Loss) for the three and nine month periods ended August 2, 2024 and August 4, 2023,</w:t>
      </w:r>
    </w:p>
    <w:p>
      <w:pPr>
        <w:jc w:val="both"/>
        <w:ind w:left="1680" w:right="20" w:firstLine="7"/>
        <w:spacing w:after="0" w:line="223" w:lineRule="auto"/>
        <w:tabs>
          <w:tab w:leader="none" w:pos="199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Condensed Consolidated Balance Sheets as of August 2, 2024, August 4, 2023, and October 31, 2023, (iv) Condensed Consolidated Statement of Cash Flows for the nine month periods ended August 2, 2024 and August 4, 2023, (v) Condensed Consolidated Statements of Stockholders' Equity for the three and nine month periods ended August 2, 2024 and August 4, 2023, and (vi) Notes to Condensed Consolidated Financial Statements (filed herewith).</w:t>
      </w:r>
    </w:p>
    <w:p>
      <w:pPr>
        <w:spacing w:after="0" w:line="61" w:lineRule="exact"/>
        <w:rPr>
          <w:sz w:val="20"/>
          <w:szCs w:val="20"/>
          <w:color w:val="auto"/>
        </w:rPr>
      </w:pPr>
    </w:p>
    <w:p>
      <w:pPr>
        <w:ind w:left="1680" w:hanging="1259"/>
        <w:spacing w:after="0"/>
        <w:tabs>
          <w:tab w:leader="none" w:pos="1680" w:val="left"/>
        </w:tabs>
        <w:numPr>
          <w:ilvl w:val="0"/>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61" w:lineRule="exact"/>
        <w:rPr>
          <w:rFonts w:ascii="Times New Roman" w:cs="Times New Roman" w:eastAsia="Times New Roman" w:hAnsi="Times New Roman"/>
          <w:sz w:val="16"/>
          <w:szCs w:val="16"/>
          <w:b w:val="1"/>
          <w:bCs w:val="1"/>
          <w:color w:val="auto"/>
        </w:rPr>
      </w:pPr>
    </w:p>
    <w:p>
      <w:pPr>
        <w:ind w:left="55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TORO COMPANY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Date: September 5, 2024</w:t>
            </w:r>
          </w:p>
        </w:tc>
        <w:tc>
          <w:tcPr>
            <w:tcW w:w="2420" w:type="dxa"/>
            <w:vAlign w:val="bottom"/>
          </w:tcPr>
          <w:p>
            <w:pPr>
              <w:ind w:left="1920"/>
              <w:spacing w:after="0"/>
              <w:rPr>
                <w:sz w:val="20"/>
                <w:szCs w:val="20"/>
                <w:color w:val="auto"/>
              </w:rPr>
            </w:pPr>
            <w:r>
              <w:rPr>
                <w:rFonts w:ascii="Times New Roman" w:cs="Times New Roman" w:eastAsia="Times New Roman" w:hAnsi="Times New Roman"/>
                <w:sz w:val="17"/>
                <w:szCs w:val="17"/>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Angela C. Drake</w:t>
            </w:r>
          </w:p>
        </w:tc>
      </w:tr>
      <w:tr>
        <w:trPr>
          <w:trHeight w:val="209"/>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Angela C. Drake</w:t>
            </w:r>
          </w:p>
        </w:tc>
      </w:tr>
      <w:tr>
        <w:trPr>
          <w:trHeight w:val="220"/>
        </w:trPr>
        <w:tc>
          <w:tcPr>
            <w:tcW w:w="36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tc>
      </w:tr>
      <w:tr>
        <w:trPr>
          <w:trHeight w:val="171"/>
        </w:trPr>
        <w:tc>
          <w:tcPr>
            <w:tcW w:w="3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16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(duly authorized officer, principal financial officer, and principal</w:t>
            </w:r>
          </w:p>
        </w:tc>
      </w:tr>
      <w:tr>
        <w:trPr>
          <w:trHeight w:val="223"/>
        </w:trPr>
        <w:tc>
          <w:tcPr>
            <w:tcW w:w="36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40"/>
          </w:cols>
          <w:pgMar w:left="320" w:top="12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Rule 13a-14(a)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Richard M. Olson, certify that:</w:t>
      </w:r>
    </w:p>
    <w:p>
      <w:pPr>
        <w:spacing w:after="0" w:line="218"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17"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5, 2024</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Rule 13a-14(a)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Angela C. Drake, certify that:</w:t>
      </w:r>
    </w:p>
    <w:p>
      <w:pPr>
        <w:spacing w:after="0" w:line="218"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43"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5, 2024</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Angela C. Drake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quarterly period ended August 2, 2024 of The Toro Company (the “Company”) as filed with the Securities and Exchange Commission on the date hereof (the “Report”), we, Richard M. Olson, Chairman of the Board, President and Chief Executive Officer of the Company, and Angela C. Drake, Vice President, Chief Financial Officer of the Company, certify, pursuant to 18 U.S.C. Section 1350, as adopted pursuant to Section 906 of the Sarbanes-Oxley Act of 2002, that to our knowledge:</w:t>
      </w:r>
    </w:p>
    <w:p>
      <w:pPr>
        <w:spacing w:after="0" w:line="170" w:lineRule="exact"/>
        <w:rPr>
          <w:sz w:val="20"/>
          <w:szCs w:val="20"/>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September 5, 2024</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Angela C. Drake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September 5, 2024</w:t>
      </w:r>
    </w:p>
    <w:p>
      <w:pPr>
        <w:spacing w:after="0" w:line="200" w:lineRule="exact"/>
        <w:rPr>
          <w:sz w:val="20"/>
          <w:szCs w:val="20"/>
          <w:color w:val="auto"/>
        </w:rPr>
      </w:pPr>
    </w:p>
    <w:p>
      <w:pPr>
        <w:spacing w:after="0" w:line="26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3803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bullet"/>
      <w:start w:val="1"/>
    </w:lvl>
  </w:abstractNum>
  <w:abstractNum w:abstractNumId="5">
    <w:nsid w:val="25E45D32"/>
    <w:multiLevelType w:val="hybridMultilevel"/>
    <w:lvl w:ilvl="0">
      <w:lvlJc w:val="left"/>
      <w:lvlText w:val="1"/>
      <w:numFmt w:val="bullet"/>
      <w:start w:val="1"/>
    </w:lvl>
  </w:abstractNum>
  <w:abstractNum w:abstractNumId="6">
    <w:nsid w:val="519B500D"/>
    <w:multiLevelType w:val="hybridMultilevel"/>
    <w:lvl w:ilvl="0">
      <w:lvlJc w:val="left"/>
      <w:lvlText w:val="2"/>
      <w:numFmt w:val="bullet"/>
      <w:start w:val="1"/>
    </w:lvl>
  </w:abstractNum>
  <w:abstractNum w:abstractNumId="7">
    <w:nsid w:val="431BD7B7"/>
    <w:multiLevelType w:val="hybridMultilevel"/>
    <w:lvl w:ilvl="0">
      <w:lvlJc w:val="left"/>
      <w:lvlText w:val="3"/>
      <w:numFmt w:val="bullet"/>
      <w:start w:val="1"/>
    </w:lvl>
  </w:abstractNum>
  <w:abstractNum w:abstractNumId="8">
    <w:nsid w:val="3F2DBA31"/>
    <w:multiLevelType w:val="hybridMultilevel"/>
    <w:lvl w:ilvl="0">
      <w:lvlJc w:val="left"/>
      <w:lvlText w:val="1"/>
      <w:numFmt w:val="bullet"/>
      <w:start w:val="1"/>
    </w:lvl>
  </w:abstractNum>
  <w:abstractNum w:abstractNumId="9">
    <w:nsid w:val="7C83E458"/>
    <w:multiLevelType w:val="hybridMultilevel"/>
    <w:lvl w:ilvl="0">
      <w:lvlJc w:val="left"/>
      <w:lvlText w:val="4"/>
      <w:numFmt w:val="bullet"/>
      <w:start w:val="1"/>
    </w:lvl>
  </w:abstractNum>
  <w:abstractNum w:abstractNumId="10">
    <w:nsid w:val="257130A3"/>
    <w:multiLevelType w:val="hybridMultilevel"/>
    <w:lvl w:ilvl="0">
      <w:lvlJc w:val="left"/>
      <w:lvlText w:val="5"/>
      <w:numFmt w:val="bullet"/>
      <w:start w:val="1"/>
    </w:lvl>
  </w:abstractNum>
  <w:abstractNum w:abstractNumId="11">
    <w:nsid w:val="62BBD95A"/>
    <w:multiLevelType w:val="hybridMultilevel"/>
    <w:lvl w:ilvl="0">
      <w:lvlJc w:val="left"/>
      <w:lvlText w:val="7"/>
      <w:numFmt w:val="bullet"/>
      <w:start w:val="1"/>
    </w:lvl>
  </w:abstractNum>
  <w:abstractNum w:abstractNumId="12">
    <w:nsid w:val="436C6125"/>
    <w:multiLevelType w:val="hybridMultilevel"/>
    <w:lvl w:ilvl="0">
      <w:lvlJc w:val="left"/>
      <w:lvlText w:val="8"/>
      <w:numFmt w:val="bullet"/>
      <w:start w:val="1"/>
    </w:lvl>
  </w:abstractNum>
  <w:abstractNum w:abstractNumId="13">
    <w:nsid w:val="628C895D"/>
    <w:multiLevelType w:val="hybridMultilevel"/>
    <w:lvl w:ilvl="0">
      <w:lvlJc w:val="left"/>
      <w:lvlText w:val="9"/>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bullet"/>
      <w:start w:val="1"/>
    </w:lvl>
  </w:abstractNum>
  <w:abstractNum w:abstractNumId="16">
    <w:nsid w:val="2443A858"/>
    <w:multiLevelType w:val="hybridMultilevel"/>
    <w:lvl w:ilvl="0">
      <w:lvlJc w:val="left"/>
      <w:lvlText w:val="2"/>
      <w:numFmt w:val="bullet"/>
      <w:start w:val="1"/>
    </w:lvl>
  </w:abstractNum>
  <w:abstractNum w:abstractNumId="17">
    <w:nsid w:val="2D1D5AE9"/>
    <w:multiLevelType w:val="hybridMultilevel"/>
    <w:lvl w:ilvl="0">
      <w:lvlJc w:val="left"/>
      <w:lvlText w:val="3"/>
      <w:numFmt w:val="bullet"/>
      <w:start w:val="1"/>
    </w:lvl>
  </w:abstractNum>
  <w:abstractNum w:abstractNumId="18">
    <w:nsid w:val="6763845E"/>
    <w:multiLevelType w:val="hybridMultilevel"/>
    <w:lvl w:ilvl="0">
      <w:lvlJc w:val="left"/>
      <w:lvlText w:val="4"/>
      <w:numFmt w:val="bullet"/>
      <w:start w:val="1"/>
    </w:lvl>
  </w:abstractNum>
  <w:abstractNum w:abstractNumId="19">
    <w:nsid w:val="75A2A8D4"/>
    <w:multiLevelType w:val="hybridMultilevel"/>
    <w:lvl w:ilvl="0">
      <w:lvlJc w:val="left"/>
      <w:lvlText w:val="1"/>
      <w:numFmt w:val="bullet"/>
      <w:start w:val="1"/>
    </w:lvl>
  </w:abstractNum>
  <w:abstractNum w:abstractNumId="20">
    <w:nsid w:val="8EDBDAB"/>
    <w:multiLevelType w:val="hybridMultilevel"/>
    <w:lvl w:ilvl="0">
      <w:lvlJc w:val="left"/>
      <w:lvlText w:val="2"/>
      <w:numFmt w:val="bullet"/>
      <w:start w:val="1"/>
    </w:lvl>
  </w:abstractNum>
  <w:abstractNum w:abstractNumId="21">
    <w:nsid w:val="79838CB2"/>
    <w:multiLevelType w:val="hybridMultilevel"/>
    <w:lvl w:ilvl="0">
      <w:lvlJc w:val="left"/>
      <w:lvlText w:val="3"/>
      <w:numFmt w:val="bullet"/>
      <w:start w:val="1"/>
    </w:lvl>
  </w:abstractNum>
  <w:abstractNum w:abstractNumId="22">
    <w:nsid w:val="4353D0CD"/>
    <w:multiLevelType w:val="hybridMultilevel"/>
    <w:lvl w:ilvl="0">
      <w:lvlJc w:val="left"/>
      <w:lvlText w:val="%1"/>
      <w:numFmt w:val="decimal"/>
      <w:start w:val="101"/>
    </w:lvl>
  </w:abstractNum>
  <w:abstractNum w:abstractNumId="23">
    <w:nsid w:val="B03E0C6"/>
    <w:multiLevelType w:val="hybridMultilevel"/>
    <w:lvl w:ilvl="0">
      <w:lvlJc w:val="left"/>
      <w:lvlText w:val="(%1)"/>
      <w:numFmt w:val="lowerRoman"/>
      <w:start w:val="3"/>
    </w:lvl>
  </w:abstractNum>
  <w:abstractNum w:abstractNumId="24">
    <w:nsid w:val="189A769B"/>
    <w:multiLevelType w:val="hybridMultilevel"/>
    <w:lvl w:ilvl="0">
      <w:lvlJc w:val="left"/>
      <w:lvlText w:val="%1"/>
      <w:numFmt w:val="decimal"/>
      <w:start w:val="104"/>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57" Type="http://schemas.openxmlformats.org/officeDocument/2006/relationships/hyperlink" Target="https://www.sec.gov/Archives/edgar/data/737758/000073775808000033/form8-k06172008exhibitcert.htm" TargetMode="External"/><Relationship Id="rId58" Type="http://schemas.openxmlformats.org/officeDocument/2006/relationships/hyperlink" Target="https://www.sec.gov/Archives/edgar/data/737758/000119312513105223/d501846dex31.htm" TargetMode="External"/><Relationship Id="rId59" Type="http://schemas.openxmlformats.org/officeDocument/2006/relationships/hyperlink" Target="https://www.sec.gov/Archives/edgar/data/737758/000114036123027141/brhc20053547_3-1.htm" TargetMode="External"/><Relationship Id="rId60" Type="http://schemas.openxmlformats.org/officeDocument/2006/relationships/hyperlink" Target="https://www.sec.gov/Archives/edgar/data/737758/000110465907030051/a07-10570_1ex4d3.htm" TargetMode="External"/><Relationship Id="rId61" Type="http://schemas.openxmlformats.org/officeDocument/2006/relationships/hyperlink" Target="https://www.sec.gov/Archives/edgar/data/737758/000110465907031757/a07-10570_5ex4d1.htm" TargetMode="External"/><Relationship Id="rId62" Type="http://schemas.openxmlformats.org/officeDocument/2006/relationships/hyperlink" Target="https://www.sec.gov/Archives/edgar/data/737758/000110465907031757/a07-10570_5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2024-09-05T11:54:21Z</dcterms:created>
  <dcterms:modified xsi:type="dcterms:W3CDTF">2024-09-05T11:54:21Z</dcterms:modified>
</cp:coreProperties>
</file>