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396240</wp:posOffset>
            </wp:positionH>
            <wp:positionV relativeFrom="paragraph">
              <wp:posOffset>436245</wp:posOffset>
            </wp:positionV>
            <wp:extent cx="68046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4660" cy="8255"/>
                    </a:xfrm>
                    <a:prstGeom prst="rect">
                      <a:avLst/>
                    </a:prstGeom>
                    <a:noFill/>
                  </pic:spPr>
                </pic:pic>
              </a:graphicData>
            </a:graphic>
          </wp:anchor>
        </w:drawing>
        <w:drawing>
          <wp:anchor simplePos="0" relativeHeight="251657728" behindDoc="1" locked="0" layoutInCell="0" allowOverlap="1">
            <wp:simplePos x="0" y="0"/>
            <wp:positionH relativeFrom="column">
              <wp:posOffset>396240</wp:posOffset>
            </wp:positionH>
            <wp:positionV relativeFrom="paragraph">
              <wp:posOffset>394970</wp:posOffset>
            </wp:positionV>
            <wp:extent cx="680466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4660"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66" w:lineRule="exact"/>
        <w:rPr>
          <w:sz w:val="24"/>
          <w:szCs w:val="24"/>
          <w:color w:val="auto"/>
        </w:rPr>
      </w:pPr>
    </w:p>
    <w:p>
      <w:pPr>
        <w:ind w:left="2040" w:hanging="300"/>
        <w:spacing w:after="0"/>
        <w:tabs>
          <w:tab w:leader="none" w:pos="20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Quarterly Period Ended January 30, 2026</w:t>
      </w:r>
    </w:p>
    <w:p>
      <w:pPr>
        <w:spacing w:after="0" w:line="248" w:lineRule="exact"/>
        <w:rPr>
          <w:sz w:val="24"/>
          <w:szCs w:val="24"/>
          <w:color w:val="auto"/>
        </w:rPr>
      </w:pPr>
    </w:p>
    <w:p>
      <w:pPr>
        <w:ind w:left="2040" w:hanging="335"/>
        <w:spacing w:after="0"/>
        <w:tabs>
          <w:tab w:leader="none" w:pos="20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244" w:lineRule="exact"/>
        <w:rPr>
          <w:sz w:val="24"/>
          <w:szCs w:val="24"/>
          <w:color w:val="auto"/>
        </w:rPr>
      </w:pPr>
    </w:p>
    <w:p>
      <w:pPr>
        <w:jc w:val="right"/>
        <w:ind w:right="4400"/>
        <w:spacing w:after="0"/>
        <w:tabs>
          <w:tab w:leader="none" w:pos="312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2" w:lineRule="exact"/>
        <w:rPr>
          <w:sz w:val="24"/>
          <w:szCs w:val="24"/>
          <w:color w:val="auto"/>
        </w:rPr>
      </w:pPr>
    </w:p>
    <w:p>
      <w:pPr>
        <w:jc w:val="right"/>
        <w:ind w:right="4460"/>
        <w:spacing w:after="0"/>
        <w:rPr>
          <w:sz w:val="20"/>
          <w:szCs w:val="20"/>
          <w:color w:val="auto"/>
        </w:rPr>
      </w:pPr>
      <w:r>
        <w:rPr>
          <w:rFonts w:ascii="Times New Roman" w:cs="Times New Roman" w:eastAsia="Times New Roman" w:hAnsi="Times New Roman"/>
          <w:sz w:val="17"/>
          <w:szCs w:val="17"/>
          <w:color w:val="auto"/>
        </w:rPr>
        <w:t xml:space="preserve">Commission File Number: </w:t>
      </w:r>
      <w:r>
        <w:rPr>
          <w:rFonts w:ascii="Times New Roman" w:cs="Times New Roman" w:eastAsia="Times New Roman" w:hAnsi="Times New Roman"/>
          <w:sz w:val="17"/>
          <w:szCs w:val="17"/>
          <w:b w:val="1"/>
          <w:bCs w:val="1"/>
          <w:color w:val="auto"/>
        </w:rPr>
        <w:t>1-8649</w:t>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THE TORO COMPANY</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ectPr>
          <w:pgSz w:w="11900" w:h="16838" w:orient="portrait"/>
          <w:cols w:equalWidth="0" w:num="1">
            <w:col w:w="11260"/>
          </w:cols>
          <w:pgMar w:left="320" w:top="226" w:right="319" w:bottom="1440" w:gutter="0" w:footer="0" w:header="0"/>
        </w:sectPr>
      </w:pPr>
    </w:p>
    <w:p>
      <w:pPr>
        <w:spacing w:after="0" w:line="118"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41-0580470</w:t>
      </w:r>
    </w:p>
    <w:p>
      <w:pPr>
        <w:spacing w:after="0" w:line="33" w:lineRule="exact"/>
        <w:rPr>
          <w:sz w:val="24"/>
          <w:szCs w:val="24"/>
          <w:color w:val="auto"/>
        </w:rPr>
      </w:pPr>
    </w:p>
    <w:p>
      <w:pPr>
        <w:sectPr>
          <w:pgSz w:w="11900" w:h="16838" w:orient="portrait"/>
          <w:cols w:equalWidth="0" w:num="2">
            <w:col w:w="8080" w:space="720"/>
            <w:col w:w="2460"/>
          </w:cols>
          <w:pgMar w:left="320" w:top="226" w:right="319" w:bottom="1440" w:gutter="0" w:footer="0" w:header="0"/>
          <w:type w:val="continuous"/>
        </w:sectPr>
      </w:pPr>
    </w:p>
    <w:p>
      <w:pPr>
        <w:ind w:left="1120"/>
        <w:spacing w:after="0"/>
        <w:rPr>
          <w:sz w:val="20"/>
          <w:szCs w:val="20"/>
          <w:color w:val="auto"/>
        </w:rPr>
      </w:pPr>
      <w:r>
        <w:rPr>
          <w:rFonts w:ascii="Times New Roman" w:cs="Times New Roman" w:eastAsia="Times New Roman" w:hAnsi="Times New Roman"/>
          <w:sz w:val="14"/>
          <w:szCs w:val="14"/>
          <w:color w:val="auto"/>
        </w:rPr>
        <w:t>State or Other Jurisdiction of</w:t>
      </w:r>
    </w:p>
    <w:p>
      <w:pPr>
        <w:spacing w:after="0" w:line="10" w:lineRule="exact"/>
        <w:rPr>
          <w:sz w:val="24"/>
          <w:szCs w:val="24"/>
          <w:color w:val="auto"/>
        </w:rPr>
      </w:pPr>
    </w:p>
    <w:p>
      <w:pPr>
        <w:ind w:left="1100"/>
        <w:spacing w:after="0"/>
        <w:rPr>
          <w:sz w:val="20"/>
          <w:szCs w:val="20"/>
          <w:color w:val="auto"/>
        </w:rPr>
      </w:pPr>
      <w:r>
        <w:rPr>
          <w:rFonts w:ascii="Times New Roman" w:cs="Times New Roman" w:eastAsia="Times New Roman" w:hAnsi="Times New Roman"/>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371" w:lineRule="exact"/>
        <w:rPr>
          <w:sz w:val="24"/>
          <w:szCs w:val="24"/>
          <w:color w:val="auto"/>
        </w:rPr>
      </w:pPr>
    </w:p>
    <w:p>
      <w:pPr>
        <w:sectPr>
          <w:pgSz w:w="11900" w:h="16838" w:orient="portrait"/>
          <w:cols w:equalWidth="0" w:num="2">
            <w:col w:w="7420" w:space="720"/>
            <w:col w:w="3120"/>
          </w:cols>
          <w:pgMar w:left="320" w:top="226" w:right="319" w:bottom="1440" w:gutter="0" w:footer="0" w:header="0"/>
          <w:type w:val="continuous"/>
        </w:sectPr>
      </w:pPr>
    </w:p>
    <w:p>
      <w:pPr>
        <w:spacing w:after="0" w:line="131"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7"/>
          <w:szCs w:val="17"/>
          <w:b w:val="1"/>
          <w:bCs w:val="1"/>
          <w:color w:val="auto"/>
        </w:rPr>
        <w:t>8111 Lyndale Avenue South</w:t>
      </w:r>
    </w:p>
    <w:p>
      <w:pPr>
        <w:spacing w:after="0" w:line="32"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7"/>
          <w:szCs w:val="17"/>
          <w:b w:val="1"/>
          <w:bCs w:val="1"/>
          <w:color w:val="auto"/>
        </w:rPr>
        <w:t>Bloomington, Minnesota 55420-1196</w:t>
      </w:r>
    </w:p>
    <w:p>
      <w:pPr>
        <w:spacing w:after="0" w:line="11"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7"/>
          <w:szCs w:val="17"/>
          <w:b w:val="1"/>
          <w:bCs w:val="1"/>
          <w:color w:val="auto"/>
        </w:rPr>
        <w:t>Telephone Number: (952) 888-8801</w:t>
      </w:r>
    </w:p>
    <w:p>
      <w:pPr>
        <w:spacing w:after="0" w:line="11"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17"/>
          <w:szCs w:val="17"/>
          <w:color w:val="auto"/>
        </w:rPr>
        <w:t>(Address, including zip code, and telephone number, including area code, of registrant’s principal executive offices)</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94" w:lineRule="exact"/>
        <w:rPr>
          <w:sz w:val="24"/>
          <w:szCs w:val="24"/>
          <w:color w:val="auto"/>
        </w:rPr>
      </w:pPr>
    </w:p>
    <w:tbl>
      <w:tblPr>
        <w:tblLayout w:type="fixed"/>
        <w:tblInd w:w="10" w:type="dxa"/>
        <w:tblCellMar>
          <w:top w:w="0" w:type="dxa"/>
          <w:left w:w="0" w:type="dxa"/>
          <w:bottom w:w="0" w:type="dxa"/>
          <w:right w:w="0" w:type="dxa"/>
        </w:tblCellMar>
      </w:tblPr>
      <w:tr>
        <w:trPr>
          <w:trHeight w:val="217"/>
        </w:trPr>
        <w:tc>
          <w:tcPr>
            <w:tcW w:w="40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Title of each class</w:t>
            </w:r>
          </w:p>
        </w:tc>
        <w:tc>
          <w:tcPr>
            <w:tcW w:w="3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Trading Symbol(s)</w:t>
            </w:r>
          </w:p>
        </w:tc>
        <w:tc>
          <w:tcPr>
            <w:tcW w:w="40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Name of each exchange on which registered</w:t>
            </w:r>
          </w:p>
        </w:tc>
      </w:tr>
      <w:tr>
        <w:trPr>
          <w:trHeight w:val="215"/>
        </w:trPr>
        <w:tc>
          <w:tcPr>
            <w:tcW w:w="40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Common Stock, par value $1.00 per share</w:t>
            </w:r>
          </w:p>
        </w:tc>
        <w:tc>
          <w:tcPr>
            <w:tcW w:w="3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TTC</w:t>
            </w:r>
          </w:p>
        </w:tc>
        <w:tc>
          <w:tcPr>
            <w:tcW w:w="4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New York Stock Exchange</w:t>
            </w:r>
          </w:p>
        </w:tc>
      </w:tr>
    </w:tbl>
    <w:p>
      <w:pPr>
        <w:spacing w:after="0" w:line="307" w:lineRule="exact"/>
        <w:rPr>
          <w:sz w:val="24"/>
          <w:szCs w:val="24"/>
          <w:color w:val="auto"/>
        </w:rPr>
      </w:pPr>
    </w:p>
    <w:p>
      <w:pPr>
        <w:jc w:val="both"/>
        <w:ind w:right="20"/>
        <w:spacing w:after="0" w:line="21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ind w:right="20"/>
        <w:spacing w:after="0" w:line="207"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4" w:lineRule="exact"/>
        <w:rPr>
          <w:sz w:val="24"/>
          <w:szCs w:val="24"/>
          <w:color w:val="auto"/>
        </w:rPr>
      </w:pPr>
    </w:p>
    <w:tbl>
      <w:tblPr>
        <w:tblLayout w:type="fixed"/>
        <w:tblInd w:w="20" w:type="dxa"/>
        <w:tblCellMar>
          <w:top w:w="0" w:type="dxa"/>
          <w:left w:w="0" w:type="dxa"/>
          <w:bottom w:w="0" w:type="dxa"/>
          <w:right w:w="0" w:type="dxa"/>
        </w:tblCellMar>
      </w:tblPr>
      <w:tr>
        <w:trPr>
          <w:trHeight w:val="290"/>
        </w:trPr>
        <w:tc>
          <w:tcPr>
            <w:tcW w:w="214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420" w:type="dxa"/>
            <w:vAlign w:val="bottom"/>
          </w:tcPr>
          <w:p>
            <w:pPr>
              <w:ind w:left="600"/>
              <w:spacing w:after="0" w:line="171" w:lineRule="exact"/>
              <w:rPr>
                <w:sz w:val="20"/>
                <w:szCs w:val="20"/>
                <w:color w:val="auto"/>
              </w:rPr>
            </w:pPr>
            <w:r>
              <w:rPr>
                <w:rFonts w:ascii="MS PGothic" w:cs="MS PGothic" w:eastAsia="MS PGothic" w:hAnsi="MS PGothic"/>
                <w:sz w:val="17"/>
                <w:szCs w:val="17"/>
                <w:color w:val="auto"/>
              </w:rPr>
              <w:t>☒</w:t>
            </w:r>
          </w:p>
        </w:tc>
        <w:tc>
          <w:tcPr>
            <w:tcW w:w="4980" w:type="dxa"/>
            <w:vAlign w:val="bottom"/>
          </w:tcPr>
          <w:p>
            <w:pPr>
              <w:ind w:left="2660"/>
              <w:spacing w:after="0"/>
              <w:rPr>
                <w:sz w:val="20"/>
                <w:szCs w:val="20"/>
                <w:color w:val="auto"/>
              </w:rPr>
            </w:pPr>
            <w:r>
              <w:rPr>
                <w:rFonts w:ascii="Times New Roman" w:cs="Times New Roman" w:eastAsia="Times New Roman" w:hAnsi="Times New Roman"/>
                <w:sz w:val="17"/>
                <w:szCs w:val="17"/>
                <w:color w:val="auto"/>
              </w:rPr>
              <w:t>Accelerated filer</w:t>
            </w:r>
          </w:p>
        </w:tc>
        <w:tc>
          <w:tcPr>
            <w:tcW w:w="600" w:type="dxa"/>
            <w:vAlign w:val="bottom"/>
          </w:tcPr>
          <w:p>
            <w:pPr>
              <w:ind w:left="4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0"/>
        </w:trPr>
        <w:tc>
          <w:tcPr>
            <w:tcW w:w="214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420" w:type="dxa"/>
            <w:vAlign w:val="bottom"/>
          </w:tcPr>
          <w:p>
            <w:pPr>
              <w:ind w:left="600"/>
              <w:spacing w:after="0" w:line="171" w:lineRule="exact"/>
              <w:rPr>
                <w:sz w:val="20"/>
                <w:szCs w:val="20"/>
                <w:color w:val="auto"/>
              </w:rPr>
            </w:pPr>
            <w:r>
              <w:rPr>
                <w:rFonts w:ascii="MS PGothic" w:cs="MS PGothic" w:eastAsia="MS PGothic" w:hAnsi="MS PGothic"/>
                <w:sz w:val="17"/>
                <w:szCs w:val="17"/>
                <w:color w:val="auto"/>
              </w:rPr>
              <w:t>☐</w:t>
            </w:r>
          </w:p>
        </w:tc>
        <w:tc>
          <w:tcPr>
            <w:tcW w:w="4980" w:type="dxa"/>
            <w:vAlign w:val="bottom"/>
          </w:tcPr>
          <w:p>
            <w:pPr>
              <w:ind w:left="266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600" w:type="dxa"/>
            <w:vAlign w:val="bottom"/>
          </w:tcPr>
          <w:p>
            <w:pPr>
              <w:ind w:left="4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0"/>
        </w:trPr>
        <w:tc>
          <w:tcPr>
            <w:tcW w:w="21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980" w:type="dxa"/>
            <w:vAlign w:val="bottom"/>
          </w:tcPr>
          <w:p>
            <w:pPr>
              <w:ind w:left="2660"/>
              <w:spacing w:after="0"/>
              <w:rPr>
                <w:sz w:val="20"/>
                <w:szCs w:val="20"/>
                <w:color w:val="auto"/>
              </w:rPr>
            </w:pPr>
            <w:r>
              <w:rPr>
                <w:rFonts w:ascii="Times New Roman" w:cs="Times New Roman" w:eastAsia="Times New Roman" w:hAnsi="Times New Roman"/>
                <w:sz w:val="17"/>
                <w:szCs w:val="17"/>
                <w:color w:val="auto"/>
              </w:rPr>
              <w:t>Emerging growth company</w:t>
            </w:r>
          </w:p>
        </w:tc>
        <w:tc>
          <w:tcPr>
            <w:tcW w:w="600" w:type="dxa"/>
            <w:vAlign w:val="bottom"/>
          </w:tcPr>
          <w:p>
            <w:pPr>
              <w:ind w:left="44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267" w:lineRule="exact"/>
        <w:rPr>
          <w:sz w:val="24"/>
          <w:szCs w:val="24"/>
          <w:color w:val="auto"/>
        </w:rPr>
      </w:pPr>
    </w:p>
    <w:p>
      <w:pPr>
        <w:ind w:right="20"/>
        <w:spacing w:after="0" w:line="212"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 w:lineRule="exact"/>
        <w:rPr>
          <w:sz w:val="24"/>
          <w:szCs w:val="24"/>
          <w:color w:val="auto"/>
        </w:rPr>
      </w:pPr>
    </w:p>
    <w:p>
      <w:pPr>
        <w:ind w:right="2360"/>
        <w:spacing w:after="0" w:line="209"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The number of shares of the registrant’s common stock outstanding as of February 26, 2026 was 96,932,941.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709930</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99060</wp:posOffset>
            </wp:positionV>
            <wp:extent cx="712152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1525" cy="165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74930</wp:posOffset>
            </wp:positionV>
            <wp:extent cx="7121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ectPr>
          <w:pgSz w:w="11900" w:h="16838" w:orient="portrait"/>
          <w:cols w:equalWidth="0" w:num="1">
            <w:col w:w="11260"/>
          </w:cols>
          <w:pgMar w:left="320" w:top="226"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TORO COMPANY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10-Q</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960" w:type="dxa"/>
            <w:vAlign w:val="bottom"/>
            <w:tcBorders>
              <w:bottom w:val="single" w:sz="8" w:color="auto"/>
            </w:tcBorders>
            <w:gridSpan w:val="4"/>
          </w:tcPr>
          <w:p>
            <w:pPr>
              <w:ind w:left="2740"/>
              <w:spacing w:after="0"/>
              <w:rPr>
                <w:sz w:val="20"/>
                <w:szCs w:val="20"/>
                <w:color w:val="auto"/>
              </w:rPr>
            </w:pPr>
            <w:r>
              <w:rPr>
                <w:rFonts w:ascii="Times New Roman" w:cs="Times New Roman" w:eastAsia="Times New Roman" w:hAnsi="Times New Roman"/>
                <w:sz w:val="16"/>
                <w:szCs w:val="16"/>
                <w:b w:val="1"/>
                <w:bCs w:val="1"/>
                <w:color w:val="auto"/>
              </w:rPr>
              <w:t>Page Number</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56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6"/>
                <w:szCs w:val="16"/>
                <w:b w:val="1"/>
                <w:bCs w:val="1"/>
                <w:color w:val="0000FF"/>
              </w:rPr>
              <w:t>CAUTIONARY NOTE REGARDING FORWARD-LOOKING STATEMENTS</w:t>
            </w:r>
          </w:p>
        </w:tc>
        <w:tc>
          <w:tcPr>
            <w:tcW w:w="1700" w:type="dxa"/>
            <w:vAlign w:val="bottom"/>
            <w:gridSpan w:val="6"/>
          </w:tcPr>
          <w:p>
            <w:pPr>
              <w:spacing w:after="0"/>
              <w:rPr>
                <w:sz w:val="24"/>
                <w:szCs w:val="24"/>
                <w:color w:val="auto"/>
              </w:rPr>
            </w:pPr>
          </w:p>
        </w:tc>
        <w:tc>
          <w:tcPr>
            <w:tcW w:w="386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b w:val="1"/>
                <w:bCs w:val="1"/>
                <w:color w:val="0000FF"/>
                <w:w w:val="96"/>
              </w:rPr>
              <w:t>PART I.</w:t>
            </w:r>
          </w:p>
        </w:tc>
        <w:tc>
          <w:tcPr>
            <w:tcW w:w="800" w:type="dxa"/>
            <w:vAlign w:val="bottom"/>
            <w:gridSpan w:val="3"/>
          </w:tcPr>
          <w:p>
            <w:pPr>
              <w:spacing w:after="0"/>
              <w:rPr>
                <w:sz w:val="24"/>
                <w:szCs w:val="24"/>
                <w:color w:val="auto"/>
              </w:rPr>
            </w:pPr>
          </w:p>
        </w:tc>
        <w:tc>
          <w:tcPr>
            <w:tcW w:w="22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6"/>
                <w:szCs w:val="16"/>
                <w:b w:val="1"/>
                <w:bCs w:val="1"/>
                <w:color w:val="0000FF"/>
              </w:rPr>
              <w:t>FINANCIAL INFORMATION:</w:t>
            </w:r>
          </w:p>
        </w:tc>
        <w:tc>
          <w:tcPr>
            <w:tcW w:w="3640" w:type="dxa"/>
            <w:vAlign w:val="bottom"/>
            <w:gridSpan w:val="12"/>
          </w:tcPr>
          <w:p>
            <w:pPr>
              <w:spacing w:after="0"/>
              <w:rPr>
                <w:sz w:val="24"/>
                <w:szCs w:val="24"/>
                <w:color w:val="auto"/>
              </w:rPr>
            </w:pPr>
          </w:p>
        </w:tc>
        <w:tc>
          <w:tcPr>
            <w:tcW w:w="3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b w:val="1"/>
                <w:bCs w:val="1"/>
                <w:color w:val="0000FF"/>
                <w:w w:val="99"/>
              </w:rPr>
              <w:t>Item 1.</w:t>
            </w:r>
          </w:p>
        </w:tc>
        <w:tc>
          <w:tcPr>
            <w:tcW w:w="880" w:type="dxa"/>
            <w:vAlign w:val="bottom"/>
            <w:gridSpan w:val="4"/>
          </w:tcPr>
          <w:p>
            <w:pPr>
              <w:spacing w:after="0"/>
              <w:rPr>
                <w:sz w:val="24"/>
                <w:szCs w:val="24"/>
                <w:color w:val="auto"/>
              </w:rPr>
            </w:pPr>
          </w:p>
        </w:tc>
        <w:tc>
          <w:tcPr>
            <w:tcW w:w="13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rPr>
              <w:t>Financial Statements</w:t>
            </w:r>
          </w:p>
        </w:tc>
        <w:tc>
          <w:tcPr>
            <w:tcW w:w="4500" w:type="dxa"/>
            <w:vAlign w:val="bottom"/>
            <w:gridSpan w:val="19"/>
          </w:tcPr>
          <w:p>
            <w:pPr>
              <w:spacing w:after="0"/>
              <w:rPr>
                <w:sz w:val="24"/>
                <w:szCs w:val="24"/>
                <w:color w:val="auto"/>
              </w:rPr>
            </w:pPr>
          </w:p>
        </w:tc>
        <w:tc>
          <w:tcPr>
            <w:tcW w:w="3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2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6"/>
                <w:szCs w:val="16"/>
                <w:color w:val="0000FF"/>
              </w:rPr>
              <w:t>Condensed Consolidated Statements of Earnings (Unaudited)</w:t>
            </w:r>
          </w:p>
        </w:tc>
        <w:tc>
          <w:tcPr>
            <w:tcW w:w="1540" w:type="dxa"/>
            <w:vAlign w:val="bottom"/>
            <w:gridSpan w:val="5"/>
          </w:tcPr>
          <w:p>
            <w:pPr>
              <w:spacing w:after="0"/>
              <w:rPr>
                <w:sz w:val="24"/>
                <w:szCs w:val="24"/>
                <w:color w:val="auto"/>
              </w:rPr>
            </w:pPr>
          </w:p>
        </w:tc>
        <w:tc>
          <w:tcPr>
            <w:tcW w:w="386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560" w:type="dxa"/>
            <w:vAlign w:val="bottom"/>
            <w:gridSpan w:val="25"/>
          </w:tcPr>
          <w:p>
            <w:pPr>
              <w:spacing w:after="0"/>
              <w:rPr>
                <w:sz w:val="20"/>
                <w:szCs w:val="20"/>
                <w:color w:val="auto"/>
              </w:rPr>
            </w:pPr>
            <w:r>
              <w:rPr>
                <w:rFonts w:ascii="Times New Roman" w:cs="Times New Roman" w:eastAsia="Times New Roman" w:hAnsi="Times New Roman"/>
                <w:sz w:val="16"/>
                <w:szCs w:val="16"/>
                <w:color w:val="0000FF"/>
              </w:rPr>
              <w:t>Condensed Consolidated Statements of Comprehensive Income (Unaudited)</w:t>
            </w:r>
          </w:p>
        </w:tc>
        <w:tc>
          <w:tcPr>
            <w:tcW w:w="3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6"/>
                <w:szCs w:val="16"/>
                <w:color w:val="0000FF"/>
              </w:rPr>
              <w:t>Condensed Consolidated Balance Sheets (Unaudited)</w:t>
            </w:r>
          </w:p>
        </w:tc>
        <w:tc>
          <w:tcPr>
            <w:tcW w:w="1380" w:type="dxa"/>
            <w:vAlign w:val="bottom"/>
            <w:tcBorders>
              <w:top w:val="single" w:sz="8" w:color="0000FF"/>
            </w:tcBorders>
            <w:gridSpan w:val="7"/>
          </w:tcPr>
          <w:p>
            <w:pPr>
              <w:spacing w:after="0"/>
              <w:rPr>
                <w:sz w:val="24"/>
                <w:szCs w:val="24"/>
                <w:color w:val="auto"/>
              </w:rPr>
            </w:pPr>
          </w:p>
        </w:tc>
        <w:tc>
          <w:tcPr>
            <w:tcW w:w="580" w:type="dxa"/>
            <w:vAlign w:val="bottom"/>
          </w:tcPr>
          <w:p>
            <w:pPr>
              <w:spacing w:after="0"/>
              <w:rPr>
                <w:sz w:val="24"/>
                <w:szCs w:val="24"/>
                <w:color w:val="auto"/>
              </w:rPr>
            </w:pPr>
          </w:p>
        </w:tc>
        <w:tc>
          <w:tcPr>
            <w:tcW w:w="3860" w:type="dxa"/>
            <w:vAlign w:val="bottom"/>
            <w:gridSpan w:val="2"/>
          </w:tcPr>
          <w:p>
            <w:pPr>
              <w:spacing w:after="0"/>
              <w:rPr>
                <w:sz w:val="24"/>
                <w:szCs w:val="24"/>
                <w:color w:val="auto"/>
              </w:rPr>
            </w:pPr>
          </w:p>
        </w:tc>
        <w:tc>
          <w:tcPr>
            <w:tcW w:w="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6"/>
                <w:szCs w:val="16"/>
                <w:color w:val="0000FF"/>
              </w:rPr>
              <w:t>Condensed Consolidated Statements of Cash Flows (Unaudited)</w:t>
            </w:r>
          </w:p>
        </w:tc>
        <w:tc>
          <w:tcPr>
            <w:tcW w:w="1360" w:type="dxa"/>
            <w:vAlign w:val="bottom"/>
            <w:gridSpan w:val="4"/>
          </w:tcPr>
          <w:p>
            <w:pPr>
              <w:spacing w:after="0"/>
              <w:rPr>
                <w:sz w:val="24"/>
                <w:szCs w:val="24"/>
                <w:color w:val="auto"/>
              </w:rPr>
            </w:pPr>
          </w:p>
        </w:tc>
        <w:tc>
          <w:tcPr>
            <w:tcW w:w="386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6"/>
                <w:szCs w:val="16"/>
                <w:color w:val="0000FF"/>
              </w:rPr>
              <w:t>Condensed Consolidated Statements of Stockholders' Equity (Unaudited)</w:t>
            </w:r>
          </w:p>
        </w:tc>
        <w:tc>
          <w:tcPr>
            <w:tcW w:w="760" w:type="dxa"/>
            <w:vAlign w:val="bottom"/>
            <w:gridSpan w:val="2"/>
          </w:tcPr>
          <w:p>
            <w:pPr>
              <w:spacing w:after="0"/>
              <w:rPr>
                <w:sz w:val="24"/>
                <w:szCs w:val="24"/>
                <w:color w:val="auto"/>
              </w:rPr>
            </w:pPr>
          </w:p>
        </w:tc>
        <w:tc>
          <w:tcPr>
            <w:tcW w:w="386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560" w:type="dxa"/>
            <w:vAlign w:val="bottom"/>
            <w:gridSpan w:val="25"/>
          </w:tcPr>
          <w:p>
            <w:pPr>
              <w:spacing w:after="0"/>
              <w:rPr>
                <w:sz w:val="20"/>
                <w:szCs w:val="20"/>
                <w:color w:val="auto"/>
              </w:rPr>
            </w:pPr>
            <w:r>
              <w:rPr>
                <w:rFonts w:ascii="Times New Roman" w:cs="Times New Roman" w:eastAsia="Times New Roman" w:hAnsi="Times New Roman"/>
                <w:sz w:val="16"/>
                <w:szCs w:val="16"/>
                <w:color w:val="0000FF"/>
              </w:rPr>
              <w:t>Notes to Condensed Consolidated Financial Statements (Unaudited)</w:t>
            </w:r>
          </w:p>
        </w:tc>
        <w:tc>
          <w:tcPr>
            <w:tcW w:w="3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0000FF"/>
                <w:w w:val="99"/>
              </w:rPr>
              <w:t>Item 2.</w:t>
            </w:r>
          </w:p>
        </w:tc>
        <w:tc>
          <w:tcPr>
            <w:tcW w:w="880" w:type="dxa"/>
            <w:vAlign w:val="bottom"/>
            <w:gridSpan w:val="4"/>
            <w:vMerge w:val="restart"/>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20" w:type="dxa"/>
            <w:vAlign w:val="bottom"/>
            <w:gridSpan w:val="7"/>
            <w:shd w:val="clear" w:color="auto" w:fill="0000FF"/>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Borders>
              <w:bottom w:val="single" w:sz="8" w:color="0000FF"/>
            </w:tcBorders>
            <w:vMerge w:val="continue"/>
          </w:tcPr>
          <w:p>
            <w:pPr>
              <w:spacing w:after="0"/>
              <w:rPr>
                <w:sz w:val="24"/>
                <w:szCs w:val="24"/>
                <w:color w:val="auto"/>
              </w:rPr>
            </w:pPr>
          </w:p>
        </w:tc>
        <w:tc>
          <w:tcPr>
            <w:tcW w:w="880" w:type="dxa"/>
            <w:vAlign w:val="bottom"/>
            <w:gridSpan w:val="4"/>
            <w:vMerge w:val="continue"/>
          </w:tcPr>
          <w:p>
            <w:pPr>
              <w:spacing w:after="0"/>
              <w:rPr>
                <w:sz w:val="24"/>
                <w:szCs w:val="24"/>
                <w:color w:val="auto"/>
              </w:rPr>
            </w:pPr>
          </w:p>
        </w:tc>
        <w:tc>
          <w:tcPr>
            <w:tcW w:w="588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rPr>
              <w:t>Company Overview</w:t>
            </w:r>
          </w:p>
        </w:tc>
        <w:tc>
          <w:tcPr>
            <w:tcW w:w="4240" w:type="dxa"/>
            <w:vAlign w:val="bottom"/>
            <w:gridSpan w:val="15"/>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6"/>
                <w:szCs w:val="16"/>
                <w:color w:val="0000FF"/>
              </w:rPr>
              <w:t>Results of Operations</w:t>
            </w:r>
          </w:p>
        </w:tc>
        <w:tc>
          <w:tcPr>
            <w:tcW w:w="4140" w:type="dxa"/>
            <w:vAlign w:val="bottom"/>
            <w:gridSpan w:val="14"/>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rPr>
              <w:t>Business Segments</w:t>
            </w:r>
          </w:p>
        </w:tc>
        <w:tc>
          <w:tcPr>
            <w:tcW w:w="4300" w:type="dxa"/>
            <w:vAlign w:val="bottom"/>
            <w:gridSpan w:val="17"/>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w w:val="99"/>
              </w:rPr>
              <w:t>Financial Position</w:t>
            </w:r>
          </w:p>
        </w:tc>
        <w:tc>
          <w:tcPr>
            <w:tcW w:w="4380" w:type="dxa"/>
            <w:vAlign w:val="bottom"/>
            <w:gridSpan w:val="18"/>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6"/>
                <w:szCs w:val="16"/>
                <w:color w:val="0000FF"/>
              </w:rPr>
              <w:t>Non-GAAP Financial Measures</w:t>
            </w:r>
          </w:p>
        </w:tc>
        <w:tc>
          <w:tcPr>
            <w:tcW w:w="3460" w:type="dxa"/>
            <w:vAlign w:val="bottom"/>
            <w:gridSpan w:val="11"/>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6"/>
                <w:szCs w:val="16"/>
                <w:color w:val="0000FF"/>
              </w:rPr>
              <w:t>Critical Accounting Policies and Estimates</w:t>
            </w:r>
          </w:p>
        </w:tc>
        <w:tc>
          <w:tcPr>
            <w:tcW w:w="2760" w:type="dxa"/>
            <w:vAlign w:val="bottom"/>
            <w:gridSpan w:val="10"/>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b w:val="1"/>
                <w:bCs w:val="1"/>
                <w:color w:val="0000FF"/>
                <w:w w:val="99"/>
              </w:rPr>
              <w:t>Item 3.</w:t>
            </w:r>
          </w:p>
        </w:tc>
        <w:tc>
          <w:tcPr>
            <w:tcW w:w="880" w:type="dxa"/>
            <w:vAlign w:val="bottom"/>
            <w:gridSpan w:val="4"/>
          </w:tcPr>
          <w:p>
            <w:pPr>
              <w:spacing w:after="0"/>
              <w:rPr>
                <w:sz w:val="24"/>
                <w:szCs w:val="24"/>
                <w:color w:val="auto"/>
              </w:rPr>
            </w:pPr>
          </w:p>
        </w:tc>
        <w:tc>
          <w:tcPr>
            <w:tcW w:w="39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1960" w:type="dxa"/>
            <w:vAlign w:val="bottom"/>
            <w:gridSpan w:val="8"/>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b w:val="1"/>
                <w:bCs w:val="1"/>
                <w:color w:val="0000FF"/>
                <w:w w:val="99"/>
              </w:rPr>
              <w:t>Item 4.</w:t>
            </w:r>
          </w:p>
        </w:tc>
        <w:tc>
          <w:tcPr>
            <w:tcW w:w="880" w:type="dxa"/>
            <w:vAlign w:val="bottom"/>
            <w:gridSpan w:val="4"/>
          </w:tcPr>
          <w:p>
            <w:pPr>
              <w:spacing w:after="0"/>
              <w:rPr>
                <w:sz w:val="24"/>
                <w:szCs w:val="24"/>
                <w:color w:val="auto"/>
              </w:rPr>
            </w:pPr>
          </w:p>
        </w:tc>
        <w:tc>
          <w:tcPr>
            <w:tcW w:w="16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4260" w:type="dxa"/>
            <w:vAlign w:val="bottom"/>
            <w:gridSpan w:val="16"/>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6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b w:val="1"/>
                <w:bCs w:val="1"/>
                <w:color w:val="0000FF"/>
                <w:w w:val="96"/>
              </w:rPr>
              <w:t>PART II.</w:t>
            </w:r>
          </w:p>
        </w:tc>
        <w:tc>
          <w:tcPr>
            <w:tcW w:w="740" w:type="dxa"/>
            <w:vAlign w:val="bottom"/>
          </w:tcPr>
          <w:p>
            <w:pPr>
              <w:spacing w:after="0"/>
              <w:rPr>
                <w:sz w:val="24"/>
                <w:szCs w:val="24"/>
                <w:color w:val="auto"/>
              </w:rPr>
            </w:pPr>
          </w:p>
        </w:tc>
        <w:tc>
          <w:tcPr>
            <w:tcW w:w="19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6"/>
                <w:szCs w:val="16"/>
                <w:b w:val="1"/>
                <w:bCs w:val="1"/>
                <w:color w:val="0000FF"/>
              </w:rPr>
              <w:t>OTHER INFORMATION:</w:t>
            </w:r>
          </w:p>
        </w:tc>
        <w:tc>
          <w:tcPr>
            <w:tcW w:w="3980" w:type="dxa"/>
            <w:vAlign w:val="bottom"/>
            <w:gridSpan w:val="13"/>
          </w:tcPr>
          <w:p>
            <w:pPr>
              <w:spacing w:after="0"/>
              <w:rPr>
                <w:sz w:val="24"/>
                <w:szCs w:val="24"/>
                <w:color w:val="auto"/>
              </w:rPr>
            </w:pPr>
          </w:p>
        </w:tc>
        <w:tc>
          <w:tcPr>
            <w:tcW w:w="3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b w:val="1"/>
                <w:bCs w:val="1"/>
                <w:color w:val="0000FF"/>
                <w:w w:val="99"/>
              </w:rPr>
              <w:t>Item 1.</w:t>
            </w:r>
          </w:p>
        </w:tc>
        <w:tc>
          <w:tcPr>
            <w:tcW w:w="880" w:type="dxa"/>
            <w:vAlign w:val="bottom"/>
            <w:gridSpan w:val="4"/>
          </w:tcPr>
          <w:p>
            <w:pPr>
              <w:spacing w:after="0"/>
              <w:rPr>
                <w:sz w:val="24"/>
                <w:szCs w:val="24"/>
                <w:color w:val="auto"/>
              </w:rPr>
            </w:pPr>
          </w:p>
        </w:tc>
        <w:tc>
          <w:tcPr>
            <w:tcW w:w="12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rPr>
              <w:t>Legal Proceedings</w:t>
            </w:r>
          </w:p>
        </w:tc>
        <w:tc>
          <w:tcPr>
            <w:tcW w:w="4660" w:type="dxa"/>
            <w:vAlign w:val="bottom"/>
            <w:gridSpan w:val="20"/>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13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0000FF"/>
              </w:rPr>
              <w:t>Item 1A.</w:t>
            </w:r>
          </w:p>
        </w:tc>
        <w:tc>
          <w:tcPr>
            <w:tcW w:w="5880" w:type="dxa"/>
            <w:vAlign w:val="bottom"/>
            <w:gridSpan w:val="26"/>
          </w:tcPr>
          <w:p>
            <w:pPr>
              <w:spacing w:after="0"/>
              <w:rPr>
                <w:sz w:val="20"/>
                <w:szCs w:val="20"/>
                <w:color w:val="auto"/>
              </w:rPr>
            </w:pPr>
            <w:r>
              <w:rPr>
                <w:rFonts w:ascii="Times New Roman" w:cs="Times New Roman" w:eastAsia="Times New Roman" w:hAnsi="Times New Roman"/>
                <w:sz w:val="16"/>
                <w:szCs w:val="16"/>
                <w:color w:val="0000FF"/>
              </w:rPr>
              <w:t>Risk Factors</w:t>
            </w:r>
          </w:p>
        </w:tc>
        <w:tc>
          <w:tcPr>
            <w:tcW w:w="3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60" w:type="dxa"/>
            <w:vAlign w:val="bottom"/>
            <w:gridSpan w:val="14"/>
          </w:tcPr>
          <w:p>
            <w:pPr>
              <w:spacing w:after="0" w:line="20" w:lineRule="exact"/>
              <w:rPr>
                <w:sz w:val="1"/>
                <w:szCs w:val="1"/>
                <w:color w:val="auto"/>
              </w:rPr>
            </w:pPr>
          </w:p>
        </w:tc>
        <w:tc>
          <w:tcPr>
            <w:tcW w:w="1920" w:type="dxa"/>
            <w:vAlign w:val="bottom"/>
            <w:gridSpan w:val="7"/>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b w:val="1"/>
                <w:bCs w:val="1"/>
                <w:color w:val="0000FF"/>
                <w:w w:val="99"/>
              </w:rPr>
              <w:t>Item 2.</w:t>
            </w:r>
          </w:p>
        </w:tc>
        <w:tc>
          <w:tcPr>
            <w:tcW w:w="100" w:type="dxa"/>
            <w:vAlign w:val="bottom"/>
            <w:gridSpan w:val="2"/>
          </w:tcPr>
          <w:p>
            <w:pPr>
              <w:spacing w:after="0"/>
              <w:rPr>
                <w:sz w:val="24"/>
                <w:szCs w:val="24"/>
                <w:color w:val="auto"/>
              </w:rPr>
            </w:pPr>
          </w:p>
        </w:tc>
        <w:tc>
          <w:tcPr>
            <w:tcW w:w="780" w:type="dxa"/>
            <w:vAlign w:val="bottom"/>
            <w:gridSpan w:val="2"/>
          </w:tcPr>
          <w:p>
            <w:pPr>
              <w:spacing w:after="0"/>
              <w:rPr>
                <w:sz w:val="24"/>
                <w:szCs w:val="24"/>
                <w:color w:val="auto"/>
              </w:rPr>
            </w:pPr>
          </w:p>
        </w:tc>
        <w:tc>
          <w:tcPr>
            <w:tcW w:w="39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1920" w:type="dxa"/>
            <w:vAlign w:val="bottom"/>
            <w:gridSpan w:val="7"/>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b w:val="1"/>
                <w:bCs w:val="1"/>
                <w:color w:val="0000FF"/>
                <w:w w:val="99"/>
              </w:rPr>
              <w:t>Item 5.</w:t>
            </w:r>
          </w:p>
        </w:tc>
        <w:tc>
          <w:tcPr>
            <w:tcW w:w="880" w:type="dxa"/>
            <w:vAlign w:val="bottom"/>
            <w:gridSpan w:val="4"/>
          </w:tcPr>
          <w:p>
            <w:pPr>
              <w:spacing w:after="0"/>
              <w:rPr>
                <w:sz w:val="24"/>
                <w:szCs w:val="24"/>
                <w:color w:val="auto"/>
              </w:rPr>
            </w:pPr>
          </w:p>
        </w:tc>
        <w:tc>
          <w:tcPr>
            <w:tcW w:w="12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4680" w:type="dxa"/>
            <w:vAlign w:val="bottom"/>
            <w:gridSpan w:val="21"/>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6"/>
                <w:szCs w:val="16"/>
                <w:b w:val="1"/>
                <w:bCs w:val="1"/>
                <w:color w:val="0000FF"/>
                <w:w w:val="99"/>
              </w:rPr>
              <w:t>Item 6.</w:t>
            </w:r>
          </w:p>
        </w:tc>
        <w:tc>
          <w:tcPr>
            <w:tcW w:w="880" w:type="dxa"/>
            <w:vAlign w:val="bottom"/>
            <w:gridSpan w:val="4"/>
          </w:tcPr>
          <w:p>
            <w:pPr>
              <w:spacing w:after="0"/>
              <w:rPr>
                <w:sz w:val="24"/>
                <w:szCs w:val="24"/>
                <w:color w:val="auto"/>
              </w:rPr>
            </w:pPr>
          </w:p>
        </w:tc>
        <w:tc>
          <w:tcPr>
            <w:tcW w:w="5880" w:type="dxa"/>
            <w:vAlign w:val="bottom"/>
            <w:gridSpan w:val="26"/>
          </w:tcPr>
          <w:p>
            <w:pPr>
              <w:spacing w:after="0"/>
              <w:rPr>
                <w:sz w:val="20"/>
                <w:szCs w:val="20"/>
                <w:color w:val="auto"/>
              </w:rPr>
            </w:pPr>
            <w:r>
              <w:rPr>
                <w:rFonts w:ascii="Times New Roman" w:cs="Times New Roman" w:eastAsia="Times New Roman" w:hAnsi="Times New Roman"/>
                <w:sz w:val="16"/>
                <w:szCs w:val="16"/>
                <w:color w:val="0000FF"/>
              </w:rPr>
              <w:t>Exhibits</w:t>
            </w:r>
          </w:p>
        </w:tc>
        <w:tc>
          <w:tcPr>
            <w:tcW w:w="3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180" w:type="dxa"/>
            <w:vAlign w:val="bottom"/>
            <w:gridSpan w:val="23"/>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Signatures</w:t>
            </w:r>
          </w:p>
        </w:tc>
        <w:tc>
          <w:tcPr>
            <w:tcW w:w="5180" w:type="dxa"/>
            <w:vAlign w:val="bottom"/>
            <w:gridSpan w:val="23"/>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This Quarterly Report on Form 10-Q contains not only historical information, but also forward-looking statements within the meaning of the Private Securities Litigation Reform Act of 1995. Statements that are not historical are forward-looking and reflect expectations and assumptions that we believe to be reasonable. Forward-looking statements are based on our current expectations of future events and often can be identified in this report and elsewhere by using words such as "expect," "strive," "outlook," "guidance," "forecast," "goal," "anticipate," "continue," "plan," "estimate," "project," "target," "improve," "believe," "become," "should," "could," "will," "would," "possible," "may," "likely," "intend," "can," "pursue," "potential," "approximately," variations of such words or the negative thereof, and similar expressions or future dates. Our forward-looking statements in this report include, among others, statements relating to our anticipated operating results, liquidity requirements, and financial condition and current trends and uncertainties; the anticipated impacts of field inventory levels and backlog, inflation, ongoing challenges related to tariffs and strategies to mitigate the effect thereof, governmental budget cuts, current wars and international sanctions, and geopolitical tensions, tight labor markets and other macroeconomic factors; our business strategies, priorities, goals, and commitments; the effect of recent acquisitions; business and productivity initiatives and anticipated sales growth, profitability, cost savings and other benefits associated therewith; and the effect of laws, rules, policies, regulations, tax reform, new accounting pronouncements, and outstanding litigation on our business and future performance.</w:t>
      </w:r>
    </w:p>
    <w:p>
      <w:pPr>
        <w:spacing w:after="0" w:line="7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Forward-looking statements are only projections and involve risks and uncertainties that could cause actual results to differ materially from those projected or implied in the forward-looking statements. The following are some of the factors known to us that could cause our actual results to differ materially from what we have anticipated in our forward-looking statements:</w:t>
      </w:r>
    </w:p>
    <w:p>
      <w:pPr>
        <w:spacing w:after="0" w:line="64" w:lineRule="exact"/>
        <w:rPr>
          <w:sz w:val="20"/>
          <w:szCs w:val="20"/>
          <w:color w:val="auto"/>
        </w:rPr>
      </w:pPr>
    </w:p>
    <w:p>
      <w:pPr>
        <w:jc w:val="both"/>
        <w:ind w:left="620" w:hanging="307"/>
        <w:spacing w:after="0" w:line="255"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economic conditions and outlook in the United States and in other countries in which we conduct business, such as but not limited to: economic uncertainty; business slowdowns, suspensions or delays of production and commercial activity; slow or negative economic growth rates or recessionary conditions; reduced or negative consumer confidence; reduced consumer spending levels; changing consumer preferences; inflationary or deflationary pressures; higher short-term, mortgage, and other interest rates; increased or prolonged high or low unemployment rates and tight labor markets; higher costs, longer lead times and reduced availability of commodities, components, parts, and accessories, including as a result of transportation-related costs, inflation, changing prices, foreign currency fluctuations, tariffs, and/or duties; slowdowns or reductions in levels of interest in the game of golf or golf course activity, development, renovation, or improvement; golf course closures; reduced customer, governmental or municipal spending; reduced infrastructure spending; reduced levels of home ownership, construction, or sales; home foreclosures; the impact of U.S. federal debt, state debt, and sovereign debt defaults; reduced credit availability or unfavorable credit terms for us or our distributors, dealers, or end-user customers; and general economic and political conditions and expectations, any or all of which affect demand for our products and could lead to impairment and other charges and otherwise adversely affect our operating results and financial condition;</w:t>
      </w:r>
    </w:p>
    <w:p>
      <w:pPr>
        <w:spacing w:after="0" w:line="6"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political, legal and regulatory uncertainty or conflicts, including actions taken or which may be taken, such as reductions in governmental spending; monetary policy; political, geopolitical, trade, or other issues in the United States or internationally, including increased tariffs or trade wars;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Seasonality of our businesses and its impact on demand for our products and our working capital;</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 that weather conditions or climate change have on demand for our products and operations, including our supply chain;</w:t>
      </w:r>
    </w:p>
    <w:p>
      <w:pPr>
        <w:spacing w:after="0" w:line="11" w:lineRule="exact"/>
        <w:rPr>
          <w:rFonts w:ascii="Times New Roman" w:cs="Times New Roman" w:eastAsia="Times New Roman" w:hAnsi="Times New Roman"/>
          <w:sz w:val="17"/>
          <w:szCs w:val="17"/>
          <w:color w:val="auto"/>
        </w:rPr>
      </w:pPr>
    </w:p>
    <w:p>
      <w:pPr>
        <w:ind w:left="620" w:right="240" w:hanging="307"/>
        <w:spacing w:after="0" w:line="253"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Disruption and/or shortages in the availability and cost of commodities, components, parts, or accessories used in our products, including as a result of tariffs, and the effect of our supply chain strategies to mitigate the effect of tariffs;</w:t>
      </w:r>
    </w:p>
    <w:p>
      <w:pPr>
        <w:spacing w:after="0" w:line="1" w:lineRule="exact"/>
        <w:rPr>
          <w:rFonts w:ascii="Times New Roman" w:cs="Times New Roman" w:eastAsia="Times New Roman" w:hAnsi="Times New Roman"/>
          <w:sz w:val="17"/>
          <w:szCs w:val="17"/>
          <w:color w:val="auto"/>
        </w:rPr>
      </w:pPr>
    </w:p>
    <w:p>
      <w:pPr>
        <w:jc w:val="both"/>
        <w:ind w:left="620" w:hanging="307"/>
        <w:spacing w:after="0" w:line="253"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and the ability of our distribution channel customers to maintain appropriate inventory levels, including as a result of changes in purchasing patterns by customers, and if we underestimate or overestimate demand for our products, and the effect of inventory management decisions of our distribution channel customers;</w:t>
      </w:r>
    </w:p>
    <w:p>
      <w:pPr>
        <w:spacing w:after="0" w:line="1" w:lineRule="exact"/>
        <w:rPr>
          <w:rFonts w:ascii="Times New Roman" w:cs="Times New Roman" w:eastAsia="Times New Roman" w:hAnsi="Times New Roman"/>
          <w:sz w:val="17"/>
          <w:szCs w:val="17"/>
          <w:color w:val="auto"/>
        </w:rPr>
      </w:pPr>
    </w:p>
    <w:p>
      <w:pPr>
        <w:jc w:val="both"/>
        <w:ind w:left="620" w:hanging="307"/>
        <w:spacing w:after="0" w:line="253"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our recent acquisition of Tornado Infrastructure Equipment Ltd. or other acquisitions and alliances, strong customer relations, and new joint ventures, investments, or partnerships and our failure to successfully complete divestitures or other restructuring activities, including without limitation our ability to integrate acquired businesses, loss of substantial customers, and the ability of acquired companies or our alliances, joint ventures, investments or partnerships to achieve satisfactory operating results, including results being accretive to earnings, realization of synergies and expected cash flow generation, which could lead to impairment, restructuring, and other charges;</w:t>
      </w:r>
    </w:p>
    <w:p>
      <w:pPr>
        <w:spacing w:after="0" w:line="3" w:lineRule="exact"/>
        <w:rPr>
          <w:rFonts w:ascii="Times New Roman" w:cs="Times New Roman" w:eastAsia="Times New Roman" w:hAnsi="Times New Roman"/>
          <w:sz w:val="17"/>
          <w:szCs w:val="17"/>
          <w:color w:val="auto"/>
        </w:rPr>
      </w:pPr>
    </w:p>
    <w:p>
      <w:pPr>
        <w:jc w:val="both"/>
        <w:ind w:left="620" w:hanging="307"/>
        <w:spacing w:after="0" w:line="253"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leverage new, expanded or emerging markets, such as the broadband, fiber, digital and data center infrastructure market, and our ability to continue to enhance existing products and develop and market new products that respond to customer needs and preferences and achieve market acceptance, including in particular increased digital, alternative power, smart connected, and autonomous solutions;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product mix or geographic mix;</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 of competition;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ind w:left="620" w:hanging="307"/>
        <w:spacing w:after="0" w:line="260"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cost-effectively expand and renovate existing facilities, open and manage new or acquired facilities, move production from or between manufacturing facilities, and/or any disruption at or near any of our facilities or other operations or those of our suppliers, distribution channel customers, mass retailers, or home centers where our products are sold;</w:t>
      </w:r>
    </w:p>
    <w:p>
      <w:pPr>
        <w:spacing w:after="0" w:line="1" w:lineRule="exact"/>
        <w:rPr>
          <w:rFonts w:ascii="Times New Roman" w:cs="Times New Roman" w:eastAsia="Times New Roman" w:hAnsi="Times New Roman"/>
          <w:sz w:val="17"/>
          <w:szCs w:val="17"/>
          <w:color w:val="auto"/>
        </w:rPr>
      </w:pPr>
    </w:p>
    <w:p>
      <w:pPr>
        <w:jc w:val="both"/>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retain our executive officers or other key employees, attract and retain other qualified employees or successfully implement executive officer, key employee or other leadership or employee transitions and any failure by us, or our suppliers or distribution channel partners, to hire and/or retain a labor force to enhance existing products and develop and market new products, adequately staff manufacturing operations, perform service or warranty work or other necessary activities, or allow employees to adequately and safely perform their jobs;</w:t>
      </w:r>
    </w:p>
    <w:p>
      <w:pPr>
        <w:spacing w:after="0" w:line="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composition of, financial viability of, and the relationships with, our distribution channel customers;</w:t>
      </w:r>
    </w:p>
    <w:p>
      <w:pPr>
        <w:spacing w:after="0" w:line="11"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our credit arrangements and ratings and any material change in the availability or terms of, or termination or disruption of, credit offered to our customers, distributors, and dealers;</w:t>
      </w:r>
    </w:p>
    <w:p>
      <w:pPr>
        <w:spacing w:after="0" w:line="1" w:lineRule="exact"/>
        <w:rPr>
          <w:rFonts w:ascii="Times New Roman" w:cs="Times New Roman" w:eastAsia="Times New Roman" w:hAnsi="Times New Roman"/>
          <w:sz w:val="17"/>
          <w:szCs w:val="17"/>
          <w:color w:val="auto"/>
        </w:rPr>
      </w:pPr>
    </w:p>
    <w:p>
      <w:pPr>
        <w:jc w:val="both"/>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our international operations, including but not limited to the effect of foreign currency exchange rate fluctuations and compliance with foreign legal and regulatory requirements, current wars and international sanctions and geopolitical tensions, political risks associated with the potential instability of governments and legal systems in countries in which we or our customers or suppliers conduct business, and other current and potential conflicts;</w:t>
      </w:r>
    </w:p>
    <w:p>
      <w:pPr>
        <w:spacing w:after="0" w:line="2"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comply with all applicable legal and regulatory requirements and the effect of product quality issues, product liability claims, and other litigation to which we are or may be subject;</w:t>
      </w:r>
    </w:p>
    <w:p>
      <w:pPr>
        <w:spacing w:after="0" w:line="1"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and protect our intellectual property and other proprietary rights or operate our business without infringing upon the intellectual property or other proprietary rights of others;</w:t>
      </w:r>
    </w:p>
    <w:p>
      <w:pPr>
        <w:spacing w:after="0" w:line="1"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our information systems or information security practices or those of our business partners or third-party service providers to adequately perform and/or protect sensitive or confidential information;</w:t>
      </w:r>
    </w:p>
    <w:p>
      <w:pPr>
        <w:spacing w:after="0" w:line="1"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achieve our financial projections or other business initiatives, including our Amplifying Maximum Productivity (“AMP”) initiative, in the time periods or in the magnitude that we anticipate or at all;</w:t>
      </w:r>
    </w:p>
    <w:p>
      <w:pPr>
        <w:spacing w:after="0" w:line="1"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or tax standards and policies and/or assumptions utilized in determining accounting tax estimates, including the effects of the One Big Beautiful Bill Act;</w:t>
      </w:r>
    </w:p>
    <w:p>
      <w:pPr>
        <w:spacing w:after="0" w:line="1" w:lineRule="exact"/>
        <w:rPr>
          <w:rFonts w:ascii="Times New Roman" w:cs="Times New Roman" w:eastAsia="Times New Roman" w:hAnsi="Times New Roman"/>
          <w:sz w:val="17"/>
          <w:szCs w:val="17"/>
          <w:color w:val="auto"/>
        </w:rPr>
      </w:pPr>
    </w:p>
    <w:p>
      <w:pPr>
        <w:jc w:val="both"/>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 price volatility, including in response to the risks described herein or for reasons unrelated to our operations, such as reports by industry analysts, investor perceptions or negative announcements by our customers, competitors or suppliers regarding their own performance, as well as industry or general economic conditions, and other factors beyond our control; and</w:t>
      </w:r>
    </w:p>
    <w:p>
      <w:pPr>
        <w:spacing w:after="0" w:line="1" w:lineRule="exact"/>
        <w:rPr>
          <w:rFonts w:ascii="Times New Roman" w:cs="Times New Roman" w:eastAsia="Times New Roman" w:hAnsi="Times New Roman"/>
          <w:sz w:val="17"/>
          <w:szCs w:val="17"/>
          <w:color w:val="auto"/>
        </w:rPr>
      </w:pPr>
    </w:p>
    <w:p>
      <w:pPr>
        <w:jc w:val="both"/>
        <w:ind w:left="620" w:hanging="307"/>
        <w:spacing w:after="0" w:line="267"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Climate, environmental, health and safety laws and regulations as well as the impact of increased scrutiny on our sustainability practices, our ability to meet our sustainability company goals, and public perceptions that our products are not environmentally friendly or that our practices are not sustainable.</w:t>
      </w:r>
    </w:p>
    <w:p>
      <w:pPr>
        <w:spacing w:after="0" w:line="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For more information regarding these and other uncertainties and factors that could cause our actual results to differ materially from what we have anticipated in our forward-looking statements or otherwise could materially adversely affect our business, financial condition, or operating results, see our most recently filed Annual Report on Form 10-K, Part I, Item 1A, "Risk Factors;" and our subsequent filings with the Securities and Exchange Commission ("SEC").</w:t>
      </w:r>
    </w:p>
    <w:p>
      <w:pPr>
        <w:spacing w:after="0" w:line="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All forward-looking statements included in this report are expressly qualified in their entirety by the foregoing cautionary statements. We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the risks described in our most recent Annual Report on Form 10-K, Part I, Item 1A, "Risk Factors," and our subsequent SEC filings, as well as others that we may consider immaterial or do not anticipate at this time. These risks and uncertainties are not exclusive and further information concerning the company and our businesses, including factors that potentially could materially affect our financial results or condition, may emerge from time to time. We make no commitment to revise or update any forward-looking statements in order to reflect actual results, events or circumstances occurring or existing after the date any forward-looking statement is made, or changes in factors or assumptions affecting such forward-looking statements. We advise you, however, to consult any further disclosures we make on related subjects in our future Annual Reports on Form 10-K, Quarterly Reports on Form 10-Q, and Current Reports on Form 8-K we file with or furnish to the SEC.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 FINANCIAL STATEMENTS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TORO COMPANY AND SUBSIDIARIES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Condensed Consolidated Statements of Earnings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(Dollars and shares in millions, except per share data)</w:t>
      </w:r>
    </w:p>
    <w:p>
      <w:pPr>
        <w:spacing w:after="0" w:line="115"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48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January 30, 2026</w:t>
            </w:r>
          </w:p>
        </w:tc>
        <w:tc>
          <w:tcPr>
            <w:tcW w:w="20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January 31, 2025</w:t>
            </w:r>
          </w:p>
        </w:tc>
      </w:tr>
      <w:tr>
        <w:trPr>
          <w:trHeight w:val="214"/>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1,036.3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995.0</w:t>
            </w:r>
          </w:p>
        </w:tc>
      </w:tr>
      <w:tr>
        <w:trPr>
          <w:trHeight w:val="217"/>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15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699.8</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659.4</w:t>
            </w:r>
          </w:p>
        </w:tc>
      </w:tr>
      <w:tr>
        <w:trPr>
          <w:trHeight w:val="216"/>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w:t>
            </w:r>
          </w:p>
        </w:tc>
        <w:tc>
          <w:tcPr>
            <w:tcW w:w="15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336.5</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335.6</w:t>
            </w:r>
          </w:p>
        </w:tc>
      </w:tr>
      <w:tr>
        <w:trPr>
          <w:trHeight w:val="217"/>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15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249.4</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257.8</w:t>
            </w:r>
          </w:p>
        </w:tc>
      </w:tr>
      <w:tr>
        <w:trPr>
          <w:trHeight w:val="216"/>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earnings</w:t>
            </w:r>
          </w:p>
        </w:tc>
        <w:tc>
          <w:tcPr>
            <w:tcW w:w="15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87.1</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w:t>
            </w:r>
          </w:p>
        </w:tc>
      </w:tr>
      <w:tr>
        <w:trPr>
          <w:trHeight w:val="217"/>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5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r>
      <w:tr>
        <w:trPr>
          <w:trHeight w:val="220"/>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15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14.0</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13"/>
        </w:trPr>
        <w:tc>
          <w:tcPr>
            <w:tcW w:w="6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1560" w:type="dxa"/>
            <w:vAlign w:val="bottom"/>
          </w:tcPr>
          <w:p>
            <w:pPr>
              <w:spacing w:after="0"/>
              <w:rPr>
                <w:sz w:val="18"/>
                <w:szCs w:val="18"/>
                <w:color w:val="auto"/>
              </w:rPr>
            </w:pPr>
          </w:p>
        </w:tc>
        <w:tc>
          <w:tcPr>
            <w:tcW w:w="15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86.9</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w:t>
            </w:r>
          </w:p>
        </w:tc>
      </w:tr>
      <w:tr>
        <w:trPr>
          <w:trHeight w:val="220"/>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15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19.0</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213"/>
        </w:trPr>
        <w:tc>
          <w:tcPr>
            <w:tcW w:w="64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Net earnings</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67.9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w:t>
            </w:r>
          </w:p>
        </w:tc>
      </w:tr>
      <w:tr>
        <w:trPr>
          <w:trHeight w:val="22"/>
        </w:trPr>
        <w:tc>
          <w:tcPr>
            <w:tcW w:w="6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58"/>
        </w:trPr>
        <w:tc>
          <w:tcPr>
            <w:tcW w:w="648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80" w:type="dxa"/>
            <w:vAlign w:val="bottom"/>
          </w:tcPr>
          <w:p>
            <w:pPr>
              <w:spacing w:after="0"/>
              <w:rPr>
                <w:sz w:val="5"/>
                <w:szCs w:val="5"/>
                <w:color w:val="auto"/>
              </w:rPr>
            </w:pPr>
          </w:p>
        </w:tc>
      </w:tr>
      <w:tr>
        <w:trPr>
          <w:trHeight w:val="217"/>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earnings per share of common stock</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0.69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0.52</w:t>
            </w:r>
          </w:p>
        </w:tc>
      </w:tr>
      <w:tr>
        <w:trPr>
          <w:trHeight w:val="73"/>
        </w:trPr>
        <w:tc>
          <w:tcPr>
            <w:tcW w:w="64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217"/>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net earnings per share of common stock</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0.69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0.52</w:t>
            </w:r>
          </w:p>
        </w:tc>
      </w:tr>
      <w:tr>
        <w:trPr>
          <w:trHeight w:val="73"/>
        </w:trPr>
        <w:tc>
          <w:tcPr>
            <w:tcW w:w="64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22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number of shares of common stock outstanding — Basic</w:t>
            </w:r>
          </w:p>
        </w:tc>
        <w:tc>
          <w:tcPr>
            <w:tcW w:w="15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98.0</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w:t>
            </w:r>
          </w:p>
        </w:tc>
      </w:tr>
      <w:tr>
        <w:trPr>
          <w:trHeight w:val="90"/>
        </w:trPr>
        <w:tc>
          <w:tcPr>
            <w:tcW w:w="64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80" w:type="dxa"/>
            <w:vAlign w:val="bottom"/>
          </w:tcPr>
          <w:p>
            <w:pPr>
              <w:spacing w:after="0"/>
              <w:rPr>
                <w:sz w:val="7"/>
                <w:szCs w:val="7"/>
                <w:color w:val="auto"/>
              </w:rPr>
            </w:pPr>
          </w:p>
        </w:tc>
      </w:tr>
      <w:tr>
        <w:trPr>
          <w:trHeight w:val="217"/>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number of shares of common stock outstanding — Diluted</w:t>
            </w:r>
          </w:p>
        </w:tc>
        <w:tc>
          <w:tcPr>
            <w:tcW w:w="15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98.3</w:t>
            </w: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w:t>
            </w: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TORO COMPANY AND SUBSIDIARIES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Condensed Consolidated Statements of Comprehensive Income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(Dollars in millions)</w:t>
      </w:r>
    </w:p>
    <w:p>
      <w:pPr>
        <w:spacing w:after="0" w:line="115"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040" w:type="dxa"/>
            <w:vAlign w:val="bottom"/>
            <w:tcBorders>
              <w:top w:val="single" w:sz="8" w:color="auto"/>
              <w:bottom w:val="single" w:sz="8" w:color="auto"/>
            </w:tcBorders>
          </w:tcPr>
          <w:p>
            <w:pPr>
              <w:spacing w:after="0"/>
              <w:rPr>
                <w:sz w:val="19"/>
                <w:szCs w:val="19"/>
                <w:color w:val="auto"/>
              </w:rPr>
            </w:pPr>
          </w:p>
        </w:tc>
        <w:tc>
          <w:tcPr>
            <w:tcW w:w="200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January 30, 2026</w:t>
            </w:r>
          </w:p>
        </w:tc>
        <w:tc>
          <w:tcPr>
            <w:tcW w:w="20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January 31, 2025</w:t>
            </w:r>
          </w:p>
        </w:tc>
      </w:tr>
      <w:tr>
        <w:trPr>
          <w:trHeight w:val="214"/>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67.9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w:t>
            </w:r>
          </w:p>
        </w:tc>
      </w:tr>
      <w:tr>
        <w:trPr>
          <w:trHeight w:val="217"/>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20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3"/>
        </w:trPr>
        <w:tc>
          <w:tcPr>
            <w:tcW w:w="6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000" w:type="dxa"/>
            <w:vAlign w:val="bottom"/>
            <w:shd w:val="clear" w:color="auto" w:fill="CCEEFF"/>
          </w:tcPr>
          <w:p>
            <w:pPr>
              <w:spacing w:after="0"/>
              <w:rPr>
                <w:sz w:val="19"/>
                <w:szCs w:val="19"/>
                <w:color w:val="auto"/>
              </w:rPr>
            </w:pPr>
          </w:p>
        </w:tc>
        <w:tc>
          <w:tcPr>
            <w:tcW w:w="15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22.0</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17"/>
        </w:trPr>
        <w:tc>
          <w:tcPr>
            <w:tcW w:w="60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Derivative instruments, net of tax of $(2.6); $2.5, respectively</w:t>
            </w:r>
          </w:p>
        </w:tc>
        <w:tc>
          <w:tcPr>
            <w:tcW w:w="20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6"/>
                <w:szCs w:val="16"/>
                <w:color w:val="auto"/>
              </w:rPr>
              <w:t>(4.2)</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16"/>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2000" w:type="dxa"/>
            <w:vAlign w:val="bottom"/>
            <w:shd w:val="clear" w:color="auto" w:fill="CCEEFF"/>
          </w:tcPr>
          <w:p>
            <w:pPr>
              <w:spacing w:after="0"/>
              <w:rPr>
                <w:sz w:val="18"/>
                <w:szCs w:val="18"/>
                <w:color w:val="auto"/>
              </w:rPr>
            </w:pPr>
          </w:p>
        </w:tc>
        <w:tc>
          <w:tcPr>
            <w:tcW w:w="15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17.8</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7"/>
        </w:trPr>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6"/>
                <w:szCs w:val="16"/>
                <w:color w:val="auto"/>
              </w:rPr>
              <w:t>85.7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51.6</w:t>
            </w:r>
          </w:p>
        </w:tc>
      </w:tr>
      <w:tr>
        <w:trPr>
          <w:trHeight w:val="22"/>
        </w:trPr>
        <w:tc>
          <w:tcPr>
            <w:tcW w:w="60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See accompanying Notes to Condensed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TORO COMPANY AND SUBSIDIARIES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Condensed Consolidated Balance Sheets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(Dollars in millions, except per share data)</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2760" w:type="dxa"/>
            <w:vAlign w:val="bottom"/>
            <w:tcBorders>
              <w:top w:val="single" w:sz="8" w:color="auto"/>
              <w:bottom w:val="single" w:sz="8" w:color="auto"/>
            </w:tcBorders>
          </w:tcPr>
          <w:p>
            <w:pPr>
              <w:spacing w:after="0"/>
              <w:rPr>
                <w:sz w:val="20"/>
                <w:szCs w:val="20"/>
                <w:color w:val="auto"/>
              </w:rPr>
            </w:pPr>
          </w:p>
        </w:tc>
        <w:tc>
          <w:tcPr>
            <w:tcW w:w="268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January 30, 2026</w:t>
            </w:r>
          </w:p>
        </w:tc>
        <w:tc>
          <w:tcPr>
            <w:tcW w:w="220" w:type="dxa"/>
            <w:vAlign w:val="bottom"/>
            <w:tcBorders>
              <w:top w:val="single" w:sz="8" w:color="auto"/>
              <w:bottom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January 31, 2025</w:t>
            </w:r>
          </w:p>
        </w:tc>
        <w:tc>
          <w:tcPr>
            <w:tcW w:w="20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October 31, 2025</w:t>
            </w:r>
          </w:p>
        </w:tc>
        <w:tc>
          <w:tcPr>
            <w:tcW w:w="0" w:type="dxa"/>
            <w:vAlign w:val="bottom"/>
          </w:tcPr>
          <w:p>
            <w:pPr>
              <w:spacing w:after="0"/>
              <w:rPr>
                <w:sz w:val="1"/>
                <w:szCs w:val="1"/>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ASSETS</w:t>
            </w:r>
          </w:p>
        </w:tc>
        <w:tc>
          <w:tcPr>
            <w:tcW w:w="5440" w:type="dxa"/>
            <w:vAlign w:val="bottom"/>
            <w:tcBorders>
              <w:bottom w:val="single" w:sz="8" w:color="CCEEFF"/>
            </w:tcBorders>
            <w:gridSpan w:val="2"/>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189.0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171.3</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Receivables, net</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486.1</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494.3</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Inventories, net</w:t>
            </w:r>
          </w:p>
        </w:tc>
        <w:tc>
          <w:tcPr>
            <w:tcW w:w="240" w:type="dxa"/>
            <w:vAlign w:val="bottom"/>
          </w:tcPr>
          <w:p>
            <w:pPr>
              <w:spacing w:after="0"/>
              <w:rPr>
                <w:sz w:val="18"/>
                <w:szCs w:val="18"/>
                <w:color w:val="auto"/>
              </w:rPr>
            </w:pPr>
          </w:p>
        </w:tc>
        <w:tc>
          <w:tcPr>
            <w:tcW w:w="15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983.7</w:t>
            </w:r>
          </w:p>
        </w:tc>
        <w:tc>
          <w:tcPr>
            <w:tcW w:w="220" w:type="dxa"/>
            <w:vAlign w:val="bottom"/>
          </w:tcPr>
          <w:p>
            <w:pPr>
              <w:spacing w:after="0"/>
              <w:rPr>
                <w:sz w:val="18"/>
                <w:szCs w:val="18"/>
                <w:color w:val="auto"/>
              </w:rPr>
            </w:pPr>
          </w:p>
        </w:tc>
        <w:tc>
          <w:tcPr>
            <w:tcW w:w="15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1,143.1</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920.8</w:t>
            </w:r>
          </w:p>
        </w:tc>
        <w:tc>
          <w:tcPr>
            <w:tcW w:w="0" w:type="dxa"/>
            <w:vAlign w:val="bottom"/>
          </w:tcPr>
          <w:p>
            <w:pPr>
              <w:spacing w:after="0"/>
              <w:rPr>
                <w:sz w:val="1"/>
                <w:szCs w:val="1"/>
                <w:color w:val="auto"/>
              </w:rPr>
            </w:pPr>
          </w:p>
        </w:tc>
      </w:tr>
      <w:tr>
        <w:trPr>
          <w:trHeight w:val="220"/>
        </w:trPr>
        <w:tc>
          <w:tcPr>
            <w:tcW w:w="20" w:type="dxa"/>
            <w:vAlign w:val="bottom"/>
            <w:tcBorders>
              <w:bottom w:val="single" w:sz="8" w:color="auto"/>
            </w:tcBorders>
            <w:shd w:val="clear" w:color="auto" w:fill="CCEEFF"/>
          </w:tcPr>
          <w:p>
            <w:pPr>
              <w:spacing w:after="0"/>
              <w:rPr>
                <w:sz w:val="19"/>
                <w:szCs w:val="19"/>
                <w:color w:val="auto"/>
              </w:rPr>
            </w:pPr>
          </w:p>
        </w:tc>
        <w:tc>
          <w:tcPr>
            <w:tcW w:w="604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77.7</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87.5</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0" w:type="dxa"/>
            <w:vAlign w:val="bottom"/>
          </w:tcPr>
          <w:p>
            <w:pPr>
              <w:spacing w:after="0"/>
              <w:rPr>
                <w:sz w:val="1"/>
                <w:szCs w:val="1"/>
                <w:color w:val="auto"/>
              </w:rPr>
            </w:pPr>
          </w:p>
        </w:tc>
      </w:tr>
      <w:tr>
        <w:trPr>
          <w:trHeight w:val="213"/>
        </w:trPr>
        <w:tc>
          <w:tcPr>
            <w:tcW w:w="20" w:type="dxa"/>
            <w:vAlign w:val="bottom"/>
            <w:tcBorders>
              <w:bottom w:val="single" w:sz="8" w:color="auto"/>
            </w:tcBorders>
          </w:tcPr>
          <w:p>
            <w:pPr>
              <w:spacing w:after="0"/>
              <w:rPr>
                <w:sz w:val="18"/>
                <w:szCs w:val="18"/>
                <w:color w:val="auto"/>
              </w:rPr>
            </w:pPr>
          </w:p>
        </w:tc>
        <w:tc>
          <w:tcPr>
            <w:tcW w:w="60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1,736.5</w:t>
            </w: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1,896.2</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1,705.1</w:t>
            </w:r>
          </w:p>
        </w:tc>
        <w:tc>
          <w:tcPr>
            <w:tcW w:w="0" w:type="dxa"/>
            <w:vAlign w:val="bottom"/>
          </w:tcPr>
          <w:p>
            <w:pPr>
              <w:spacing w:after="0"/>
              <w:rPr>
                <w:sz w:val="1"/>
                <w:szCs w:val="1"/>
                <w:color w:val="auto"/>
              </w:rPr>
            </w:pPr>
          </w:p>
        </w:tc>
      </w:tr>
      <w:tr>
        <w:trPr>
          <w:trHeight w:val="73"/>
        </w:trPr>
        <w:tc>
          <w:tcPr>
            <w:tcW w:w="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2760" w:type="dxa"/>
            <w:vAlign w:val="bottom"/>
            <w:shd w:val="clear" w:color="auto" w:fill="CCEEFF"/>
          </w:tcPr>
          <w:p>
            <w:pPr>
              <w:spacing w:after="0"/>
              <w:rPr>
                <w:sz w:val="6"/>
                <w:szCs w:val="6"/>
                <w:color w:val="auto"/>
              </w:rPr>
            </w:pPr>
          </w:p>
        </w:tc>
        <w:tc>
          <w:tcPr>
            <w:tcW w:w="26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5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5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40" w:type="dxa"/>
            <w:vAlign w:val="bottom"/>
          </w:tcPr>
          <w:p>
            <w:pPr>
              <w:spacing w:after="0"/>
              <w:rPr>
                <w:sz w:val="18"/>
                <w:szCs w:val="18"/>
                <w:color w:val="auto"/>
              </w:rPr>
            </w:pPr>
          </w:p>
        </w:tc>
        <w:tc>
          <w:tcPr>
            <w:tcW w:w="15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636.5</w:t>
            </w:r>
          </w:p>
        </w:tc>
        <w:tc>
          <w:tcPr>
            <w:tcW w:w="220" w:type="dxa"/>
            <w:vAlign w:val="bottom"/>
          </w:tcPr>
          <w:p>
            <w:pPr>
              <w:spacing w:after="0"/>
              <w:rPr>
                <w:sz w:val="18"/>
                <w:szCs w:val="18"/>
                <w:color w:val="auto"/>
              </w:rPr>
            </w:pPr>
          </w:p>
        </w:tc>
        <w:tc>
          <w:tcPr>
            <w:tcW w:w="15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637.8</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615.8</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592.1</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449.8</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40" w:type="dxa"/>
            <w:vAlign w:val="bottom"/>
          </w:tcPr>
          <w:p>
            <w:pPr>
              <w:spacing w:after="0"/>
              <w:rPr>
                <w:sz w:val="18"/>
                <w:szCs w:val="18"/>
                <w:color w:val="auto"/>
              </w:rPr>
            </w:pPr>
          </w:p>
        </w:tc>
        <w:tc>
          <w:tcPr>
            <w:tcW w:w="15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445.7</w:t>
            </w:r>
          </w:p>
        </w:tc>
        <w:tc>
          <w:tcPr>
            <w:tcW w:w="220" w:type="dxa"/>
            <w:vAlign w:val="bottom"/>
          </w:tcPr>
          <w:p>
            <w:pPr>
              <w:spacing w:after="0"/>
              <w:rPr>
                <w:sz w:val="18"/>
                <w:szCs w:val="18"/>
                <w:color w:val="auto"/>
              </w:rPr>
            </w:pPr>
          </w:p>
        </w:tc>
        <w:tc>
          <w:tcPr>
            <w:tcW w:w="15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490.6</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390.3</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Right-of-use assets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118.5</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113.0</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Investment in finance affiliate</w:t>
            </w:r>
          </w:p>
        </w:tc>
        <w:tc>
          <w:tcPr>
            <w:tcW w:w="240" w:type="dxa"/>
            <w:vAlign w:val="bottom"/>
          </w:tcPr>
          <w:p>
            <w:pPr>
              <w:spacing w:after="0"/>
              <w:rPr>
                <w:sz w:val="18"/>
                <w:szCs w:val="18"/>
                <w:color w:val="auto"/>
              </w:rPr>
            </w:pPr>
          </w:p>
        </w:tc>
        <w:tc>
          <w:tcPr>
            <w:tcW w:w="15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40.6</w:t>
            </w:r>
          </w:p>
        </w:tc>
        <w:tc>
          <w:tcPr>
            <w:tcW w:w="220" w:type="dxa"/>
            <w:vAlign w:val="bottom"/>
          </w:tcPr>
          <w:p>
            <w:pPr>
              <w:spacing w:after="0"/>
              <w:rPr>
                <w:sz w:val="18"/>
                <w:szCs w:val="18"/>
                <w:color w:val="auto"/>
              </w:rPr>
            </w:pPr>
          </w:p>
        </w:tc>
        <w:tc>
          <w:tcPr>
            <w:tcW w:w="15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48.0</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118.2</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46.2</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60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14.4</w:t>
            </w: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15.1</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38"/>
        </w:trPr>
        <w:tc>
          <w:tcPr>
            <w:tcW w:w="20" w:type="dxa"/>
            <w:vAlign w:val="bottom"/>
            <w:tcBorders>
              <w:bottom w:val="single" w:sz="8" w:color="auto"/>
            </w:tcBorders>
            <w:shd w:val="clear" w:color="auto" w:fill="CCEEFF"/>
          </w:tcPr>
          <w:p>
            <w:pPr>
              <w:spacing w:after="0"/>
              <w:rPr>
                <w:sz w:val="20"/>
                <w:szCs w:val="20"/>
                <w:color w:val="auto"/>
              </w:rPr>
            </w:pPr>
          </w:p>
        </w:tc>
        <w:tc>
          <w:tcPr>
            <w:tcW w:w="604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3,702.5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3,696.7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3,438.8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760" w:type="dxa"/>
            <w:vAlign w:val="bottom"/>
            <w:tcBorders>
              <w:top w:val="single" w:sz="8" w:color="CCEEFF"/>
              <w:bottom w:val="single" w:sz="8" w:color="auto"/>
            </w:tcBorders>
          </w:tcPr>
          <w:p>
            <w:pPr>
              <w:spacing w:after="0" w:line="20" w:lineRule="exact"/>
              <w:rPr>
                <w:sz w:val="1"/>
                <w:szCs w:val="1"/>
                <w:color w:val="auto"/>
              </w:rPr>
            </w:pPr>
          </w:p>
        </w:tc>
        <w:tc>
          <w:tcPr>
            <w:tcW w:w="26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
        </w:trPr>
        <w:tc>
          <w:tcPr>
            <w:tcW w:w="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760" w:type="dxa"/>
            <w:vAlign w:val="bottom"/>
            <w:tcBorders>
              <w:bottom w:val="single" w:sz="8" w:color="auto"/>
            </w:tcBorders>
          </w:tcPr>
          <w:p>
            <w:pPr>
              <w:spacing w:after="0"/>
              <w:rPr>
                <w:sz w:val="3"/>
                <w:szCs w:val="3"/>
                <w:color w:val="auto"/>
              </w:rPr>
            </w:pPr>
          </w:p>
        </w:tc>
        <w:tc>
          <w:tcPr>
            <w:tcW w:w="26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shd w:val="clear" w:color="auto" w:fill="CCEEFF"/>
          </w:tcPr>
          <w:p>
            <w:pPr>
              <w:spacing w:after="0"/>
              <w:rPr>
                <w:sz w:val="13"/>
                <w:szCs w:val="13"/>
                <w:color w:val="auto"/>
              </w:rPr>
            </w:pPr>
          </w:p>
        </w:tc>
        <w:tc>
          <w:tcPr>
            <w:tcW w:w="6040" w:type="dxa"/>
            <w:vAlign w:val="bottom"/>
            <w:gridSpan w:val="3"/>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LIABILITIES AND STOCKHOLDERS’ EQUITY</w:t>
            </w:r>
          </w:p>
        </w:tc>
        <w:tc>
          <w:tcPr>
            <w:tcW w:w="24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auto"/>
            </w:tcBorders>
            <w:shd w:val="clear" w:color="auto" w:fill="CCEEFF"/>
          </w:tcPr>
          <w:p>
            <w:pPr>
              <w:spacing w:after="0"/>
              <w:rPr>
                <w:sz w:val="2"/>
                <w:szCs w:val="2"/>
                <w:color w:val="auto"/>
              </w:rPr>
            </w:pPr>
          </w:p>
        </w:tc>
        <w:tc>
          <w:tcPr>
            <w:tcW w:w="2760" w:type="dxa"/>
            <w:vAlign w:val="bottom"/>
            <w:tcBorders>
              <w:top w:val="single" w:sz="8" w:color="auto"/>
            </w:tcBorders>
            <w:shd w:val="clear" w:color="auto" w:fill="CCEEFF"/>
          </w:tcPr>
          <w:p>
            <w:pPr>
              <w:spacing w:after="0"/>
              <w:rPr>
                <w:sz w:val="2"/>
                <w:szCs w:val="2"/>
                <w:color w:val="auto"/>
              </w:rPr>
            </w:pPr>
          </w:p>
        </w:tc>
        <w:tc>
          <w:tcPr>
            <w:tcW w:w="26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5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5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Current portion of long-term debt and short-term borrowings</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15.0</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437.0</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447.1</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Accrued liabilities</w:t>
            </w:r>
          </w:p>
        </w:tc>
        <w:tc>
          <w:tcPr>
            <w:tcW w:w="240" w:type="dxa"/>
            <w:vAlign w:val="bottom"/>
          </w:tcPr>
          <w:p>
            <w:pPr>
              <w:spacing w:after="0"/>
              <w:rPr>
                <w:sz w:val="18"/>
                <w:szCs w:val="18"/>
                <w:color w:val="auto"/>
              </w:rPr>
            </w:pPr>
          </w:p>
        </w:tc>
        <w:tc>
          <w:tcPr>
            <w:tcW w:w="15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560.0</w:t>
            </w:r>
          </w:p>
        </w:tc>
        <w:tc>
          <w:tcPr>
            <w:tcW w:w="220" w:type="dxa"/>
            <w:vAlign w:val="bottom"/>
          </w:tcPr>
          <w:p>
            <w:pPr>
              <w:spacing w:after="0"/>
              <w:rPr>
                <w:sz w:val="18"/>
                <w:szCs w:val="18"/>
                <w:color w:val="auto"/>
              </w:rPr>
            </w:pPr>
          </w:p>
        </w:tc>
        <w:tc>
          <w:tcPr>
            <w:tcW w:w="15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511.3</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525.5</w:t>
            </w:r>
          </w:p>
        </w:tc>
        <w:tc>
          <w:tcPr>
            <w:tcW w:w="0" w:type="dxa"/>
            <w:vAlign w:val="bottom"/>
          </w:tcPr>
          <w:p>
            <w:pPr>
              <w:spacing w:after="0"/>
              <w:rPr>
                <w:sz w:val="1"/>
                <w:szCs w:val="1"/>
                <w:color w:val="auto"/>
              </w:rPr>
            </w:pPr>
          </w:p>
        </w:tc>
      </w:tr>
      <w:tr>
        <w:trPr>
          <w:trHeight w:val="220"/>
        </w:trPr>
        <w:tc>
          <w:tcPr>
            <w:tcW w:w="20" w:type="dxa"/>
            <w:vAlign w:val="bottom"/>
            <w:tcBorders>
              <w:bottom w:val="single" w:sz="8" w:color="auto"/>
            </w:tcBorders>
            <w:shd w:val="clear" w:color="auto" w:fill="CCEEFF"/>
          </w:tcPr>
          <w:p>
            <w:pPr>
              <w:spacing w:after="0"/>
              <w:rPr>
                <w:sz w:val="19"/>
                <w:szCs w:val="19"/>
                <w:color w:val="auto"/>
              </w:rPr>
            </w:pPr>
          </w:p>
        </w:tc>
        <w:tc>
          <w:tcPr>
            <w:tcW w:w="604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Short-term lease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21.5</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19.7</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0" w:type="dxa"/>
            <w:vAlign w:val="bottom"/>
          </w:tcPr>
          <w:p>
            <w:pPr>
              <w:spacing w:after="0"/>
              <w:rPr>
                <w:sz w:val="1"/>
                <w:szCs w:val="1"/>
                <w:color w:val="auto"/>
              </w:rPr>
            </w:pPr>
          </w:p>
        </w:tc>
      </w:tr>
      <w:tr>
        <w:trPr>
          <w:trHeight w:val="213"/>
        </w:trPr>
        <w:tc>
          <w:tcPr>
            <w:tcW w:w="20" w:type="dxa"/>
            <w:vAlign w:val="bottom"/>
            <w:tcBorders>
              <w:bottom w:val="single" w:sz="8" w:color="auto"/>
            </w:tcBorders>
          </w:tcPr>
          <w:p>
            <w:pPr>
              <w:spacing w:after="0"/>
              <w:rPr>
                <w:sz w:val="18"/>
                <w:szCs w:val="18"/>
                <w:color w:val="auto"/>
              </w:rPr>
            </w:pPr>
          </w:p>
        </w:tc>
        <w:tc>
          <w:tcPr>
            <w:tcW w:w="60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1,028.5</w:t>
            </w: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993.1</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912.4</w:t>
            </w:r>
          </w:p>
        </w:tc>
        <w:tc>
          <w:tcPr>
            <w:tcW w:w="0" w:type="dxa"/>
            <w:vAlign w:val="bottom"/>
          </w:tcPr>
          <w:p>
            <w:pPr>
              <w:spacing w:after="0"/>
              <w:rPr>
                <w:sz w:val="1"/>
                <w:szCs w:val="1"/>
                <w:color w:val="auto"/>
              </w:rPr>
            </w:pPr>
          </w:p>
        </w:tc>
      </w:tr>
      <w:tr>
        <w:trPr>
          <w:trHeight w:val="73"/>
        </w:trPr>
        <w:tc>
          <w:tcPr>
            <w:tcW w:w="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2760" w:type="dxa"/>
            <w:vAlign w:val="bottom"/>
            <w:shd w:val="clear" w:color="auto" w:fill="CCEEFF"/>
          </w:tcPr>
          <w:p>
            <w:pPr>
              <w:spacing w:after="0"/>
              <w:rPr>
                <w:sz w:val="6"/>
                <w:szCs w:val="6"/>
                <w:color w:val="auto"/>
              </w:rPr>
            </w:pPr>
          </w:p>
        </w:tc>
        <w:tc>
          <w:tcPr>
            <w:tcW w:w="26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5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5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Long-term debt, less current portion</w:t>
            </w:r>
          </w:p>
        </w:tc>
        <w:tc>
          <w:tcPr>
            <w:tcW w:w="240" w:type="dxa"/>
            <w:vAlign w:val="bottom"/>
          </w:tcPr>
          <w:p>
            <w:pPr>
              <w:spacing w:after="0"/>
              <w:rPr>
                <w:sz w:val="18"/>
                <w:szCs w:val="18"/>
                <w:color w:val="auto"/>
              </w:rPr>
            </w:pPr>
          </w:p>
        </w:tc>
        <w:tc>
          <w:tcPr>
            <w:tcW w:w="15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1,061.7</w:t>
            </w:r>
          </w:p>
        </w:tc>
        <w:tc>
          <w:tcPr>
            <w:tcW w:w="220" w:type="dxa"/>
            <w:vAlign w:val="bottom"/>
          </w:tcPr>
          <w:p>
            <w:pPr>
              <w:spacing w:after="0"/>
              <w:rPr>
                <w:sz w:val="18"/>
                <w:szCs w:val="18"/>
                <w:color w:val="auto"/>
              </w:rPr>
            </w:pPr>
          </w:p>
        </w:tc>
        <w:tc>
          <w:tcPr>
            <w:tcW w:w="15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1,091.9</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921.5</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lease liabilities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102.1</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98.3</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tcPr>
          <w:p>
            <w:pPr>
              <w:spacing w:after="0"/>
              <w:rPr>
                <w:sz w:val="18"/>
                <w:szCs w:val="18"/>
                <w:color w:val="auto"/>
              </w:rPr>
            </w:pPr>
          </w:p>
        </w:tc>
        <w:tc>
          <w:tcPr>
            <w:tcW w:w="15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20.0</w:t>
            </w:r>
          </w:p>
        </w:tc>
        <w:tc>
          <w:tcPr>
            <w:tcW w:w="220" w:type="dxa"/>
            <w:vAlign w:val="bottom"/>
          </w:tcPr>
          <w:p>
            <w:pPr>
              <w:spacing w:after="0"/>
              <w:rPr>
                <w:sz w:val="18"/>
                <w:szCs w:val="18"/>
                <w:color w:val="auto"/>
              </w:rPr>
            </w:pPr>
          </w:p>
        </w:tc>
        <w:tc>
          <w:tcPr>
            <w:tcW w:w="15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0.5</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71.0</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45.3</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40" w:type="dxa"/>
            <w:vAlign w:val="bottom"/>
            <w:gridSpan w:val="3"/>
          </w:tcPr>
          <w:p>
            <w:pPr>
              <w:ind w:left="120"/>
              <w:spacing w:after="0" w:line="155" w:lineRule="exact"/>
              <w:rPr>
                <w:sz w:val="20"/>
                <w:szCs w:val="20"/>
                <w:color w:val="auto"/>
              </w:rPr>
            </w:pPr>
            <w:r>
              <w:rPr>
                <w:rFonts w:ascii="Times New Roman" w:cs="Times New Roman" w:eastAsia="Times New Roman" w:hAnsi="Times New Roman"/>
                <w:sz w:val="16"/>
                <w:szCs w:val="16"/>
                <w:color w:val="auto"/>
              </w:rPr>
              <w:t>Preferred stock, par value $1.00 per share, authorized 1,000,000 voting and 850,000 non-</w:t>
            </w:r>
          </w:p>
        </w:tc>
        <w:tc>
          <w:tcPr>
            <w:tcW w:w="240" w:type="dxa"/>
            <w:vAlign w:val="bottom"/>
          </w:tcPr>
          <w:p>
            <w:pPr>
              <w:spacing w:after="0"/>
              <w:rPr>
                <w:sz w:val="13"/>
                <w:szCs w:val="13"/>
                <w:color w:val="auto"/>
              </w:rPr>
            </w:pPr>
          </w:p>
        </w:tc>
        <w:tc>
          <w:tcPr>
            <w:tcW w:w="1520" w:type="dxa"/>
            <w:vAlign w:val="bottom"/>
            <w:vMerge w:val="restart"/>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1520" w:type="dxa"/>
            <w:vAlign w:val="bottom"/>
            <w:vMerge w:val="restart"/>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voting shares, none issued and outstanding</w:t>
            </w:r>
          </w:p>
        </w:tc>
        <w:tc>
          <w:tcPr>
            <w:tcW w:w="24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shd w:val="clear" w:color="auto" w:fill="CCEEFF"/>
          </w:tcPr>
          <w:p>
            <w:pPr>
              <w:spacing w:after="0"/>
              <w:rPr>
                <w:sz w:val="13"/>
                <w:szCs w:val="13"/>
                <w:color w:val="auto"/>
              </w:rPr>
            </w:pPr>
          </w:p>
        </w:tc>
        <w:tc>
          <w:tcPr>
            <w:tcW w:w="6040" w:type="dxa"/>
            <w:vAlign w:val="bottom"/>
            <w:gridSpan w:val="3"/>
            <w:shd w:val="clear" w:color="auto" w:fill="CCEEFF"/>
          </w:tcPr>
          <w:p>
            <w:pPr>
              <w:ind w:left="120"/>
              <w:spacing w:after="0" w:line="158" w:lineRule="exact"/>
              <w:rPr>
                <w:sz w:val="20"/>
                <w:szCs w:val="20"/>
                <w:color w:val="auto"/>
              </w:rPr>
            </w:pPr>
            <w:r>
              <w:rPr>
                <w:rFonts w:ascii="Times New Roman" w:cs="Times New Roman" w:eastAsia="Times New Roman" w:hAnsi="Times New Roman"/>
                <w:sz w:val="16"/>
                <w:szCs w:val="16"/>
                <w:color w:val="auto"/>
              </w:rPr>
              <w:t>Common stock, par value $1.00 per share, authorized 175,000,000 shares; issued and</w:t>
            </w:r>
          </w:p>
        </w:tc>
        <w:tc>
          <w:tcPr>
            <w:tcW w:w="24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6040" w:type="dxa"/>
            <w:vAlign w:val="bottom"/>
            <w:gridSpan w:val="3"/>
            <w:shd w:val="clear" w:color="auto" w:fill="CCEEFF"/>
          </w:tcPr>
          <w:p>
            <w:pPr>
              <w:ind w:left="120"/>
              <w:spacing w:after="0" w:line="159" w:lineRule="exact"/>
              <w:rPr>
                <w:sz w:val="20"/>
                <w:szCs w:val="20"/>
                <w:color w:val="auto"/>
              </w:rPr>
            </w:pPr>
            <w:r>
              <w:rPr>
                <w:rFonts w:ascii="Times New Roman" w:cs="Times New Roman" w:eastAsia="Times New Roman" w:hAnsi="Times New Roman"/>
                <w:sz w:val="16"/>
                <w:szCs w:val="16"/>
                <w:color w:val="auto"/>
              </w:rPr>
              <w:t>outstanding 96,931,466 shares as of January 30, 2026, 100,299,716 shares as of</w:t>
            </w:r>
          </w:p>
        </w:tc>
        <w:tc>
          <w:tcPr>
            <w:tcW w:w="240" w:type="dxa"/>
            <w:vAlign w:val="bottom"/>
            <w:shd w:val="clear" w:color="auto" w:fill="CCEEFF"/>
          </w:tcPr>
          <w:p>
            <w:pPr>
              <w:spacing w:after="0"/>
              <w:rPr>
                <w:sz w:val="13"/>
                <w:szCs w:val="13"/>
                <w:color w:val="auto"/>
              </w:rPr>
            </w:pPr>
          </w:p>
        </w:tc>
        <w:tc>
          <w:tcPr>
            <w:tcW w:w="152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96.9</w:t>
            </w:r>
          </w:p>
        </w:tc>
        <w:tc>
          <w:tcPr>
            <w:tcW w:w="220" w:type="dxa"/>
            <w:vAlign w:val="bottom"/>
            <w:shd w:val="clear" w:color="auto" w:fill="CCEEFF"/>
          </w:tcPr>
          <w:p>
            <w:pPr>
              <w:spacing w:after="0"/>
              <w:rPr>
                <w:sz w:val="13"/>
                <w:szCs w:val="13"/>
                <w:color w:val="auto"/>
              </w:rPr>
            </w:pPr>
          </w:p>
        </w:tc>
        <w:tc>
          <w:tcPr>
            <w:tcW w:w="1520" w:type="dxa"/>
            <w:vAlign w:val="bottom"/>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100.3</w:t>
            </w:r>
          </w:p>
        </w:tc>
        <w:tc>
          <w:tcPr>
            <w:tcW w:w="20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January 31, 2025, and 97,888,105 shares as of October 31, 2025</w:t>
            </w:r>
          </w:p>
        </w:tc>
        <w:tc>
          <w:tcPr>
            <w:tcW w:w="240" w:type="dxa"/>
            <w:vAlign w:val="bottom"/>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Retained earnings</w:t>
            </w:r>
          </w:p>
        </w:tc>
        <w:tc>
          <w:tcPr>
            <w:tcW w:w="240" w:type="dxa"/>
            <w:vAlign w:val="bottom"/>
          </w:tcPr>
          <w:p>
            <w:pPr>
              <w:spacing w:after="0"/>
              <w:rPr>
                <w:sz w:val="18"/>
                <w:szCs w:val="18"/>
                <w:color w:val="auto"/>
              </w:rPr>
            </w:pPr>
          </w:p>
        </w:tc>
        <w:tc>
          <w:tcPr>
            <w:tcW w:w="15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1,339.6</w:t>
            </w:r>
          </w:p>
        </w:tc>
        <w:tc>
          <w:tcPr>
            <w:tcW w:w="220" w:type="dxa"/>
            <w:vAlign w:val="bottom"/>
          </w:tcPr>
          <w:p>
            <w:pPr>
              <w:spacing w:after="0"/>
              <w:rPr>
                <w:sz w:val="18"/>
                <w:szCs w:val="18"/>
                <w:color w:val="auto"/>
              </w:rPr>
            </w:pPr>
          </w:p>
        </w:tc>
        <w:tc>
          <w:tcPr>
            <w:tcW w:w="15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1,414.5</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1,390.5</w:t>
            </w:r>
          </w:p>
        </w:tc>
        <w:tc>
          <w:tcPr>
            <w:tcW w:w="0" w:type="dxa"/>
            <w:vAlign w:val="bottom"/>
          </w:tcPr>
          <w:p>
            <w:pPr>
              <w:spacing w:after="0"/>
              <w:rPr>
                <w:sz w:val="1"/>
                <w:szCs w:val="1"/>
                <w:color w:val="auto"/>
              </w:rPr>
            </w:pPr>
          </w:p>
        </w:tc>
      </w:tr>
      <w:tr>
        <w:trPr>
          <w:trHeight w:val="220"/>
        </w:trPr>
        <w:tc>
          <w:tcPr>
            <w:tcW w:w="20" w:type="dxa"/>
            <w:vAlign w:val="bottom"/>
            <w:tcBorders>
              <w:bottom w:val="single" w:sz="8" w:color="auto"/>
            </w:tcBorders>
            <w:shd w:val="clear" w:color="auto" w:fill="CCEEFF"/>
          </w:tcPr>
          <w:p>
            <w:pPr>
              <w:spacing w:after="0"/>
              <w:rPr>
                <w:sz w:val="19"/>
                <w:szCs w:val="19"/>
                <w:color w:val="auto"/>
              </w:rPr>
            </w:pPr>
          </w:p>
        </w:tc>
        <w:tc>
          <w:tcPr>
            <w:tcW w:w="6040" w:type="dxa"/>
            <w:vAlign w:val="bottom"/>
            <w:tcBorders>
              <w:bottom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0" w:type="dxa"/>
            <w:vAlign w:val="bottom"/>
          </w:tcPr>
          <w:p>
            <w:pPr>
              <w:spacing w:after="0"/>
              <w:rPr>
                <w:sz w:val="1"/>
                <w:szCs w:val="1"/>
                <w:color w:val="auto"/>
              </w:rPr>
            </w:pPr>
          </w:p>
        </w:tc>
      </w:tr>
      <w:tr>
        <w:trPr>
          <w:trHeight w:val="213"/>
        </w:trPr>
        <w:tc>
          <w:tcPr>
            <w:tcW w:w="20" w:type="dxa"/>
            <w:vAlign w:val="bottom"/>
            <w:tcBorders>
              <w:bottom w:val="single" w:sz="8" w:color="auto"/>
            </w:tcBorders>
          </w:tcPr>
          <w:p>
            <w:pPr>
              <w:spacing w:after="0"/>
              <w:rPr>
                <w:sz w:val="18"/>
                <w:szCs w:val="18"/>
                <w:color w:val="auto"/>
              </w:rPr>
            </w:pPr>
          </w:p>
        </w:tc>
        <w:tc>
          <w:tcPr>
            <w:tcW w:w="604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1,419.2</w:t>
            </w: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1,467.6</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1,453.3</w:t>
            </w:r>
          </w:p>
        </w:tc>
        <w:tc>
          <w:tcPr>
            <w:tcW w:w="0" w:type="dxa"/>
            <w:vAlign w:val="bottom"/>
          </w:tcPr>
          <w:p>
            <w:pPr>
              <w:spacing w:after="0"/>
              <w:rPr>
                <w:sz w:val="1"/>
                <w:szCs w:val="1"/>
                <w:color w:val="auto"/>
              </w:rPr>
            </w:pPr>
          </w:p>
        </w:tc>
      </w:tr>
      <w:tr>
        <w:trPr>
          <w:trHeight w:val="238"/>
        </w:trPr>
        <w:tc>
          <w:tcPr>
            <w:tcW w:w="20" w:type="dxa"/>
            <w:vAlign w:val="bottom"/>
            <w:tcBorders>
              <w:bottom w:val="single" w:sz="8" w:color="auto"/>
            </w:tcBorders>
            <w:shd w:val="clear" w:color="auto" w:fill="CCEEFF"/>
          </w:tcPr>
          <w:p>
            <w:pPr>
              <w:spacing w:after="0"/>
              <w:rPr>
                <w:sz w:val="20"/>
                <w:szCs w:val="20"/>
                <w:color w:val="auto"/>
              </w:rPr>
            </w:pPr>
          </w:p>
        </w:tc>
        <w:tc>
          <w:tcPr>
            <w:tcW w:w="604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3,702.5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3,696.7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3,438.8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760" w:type="dxa"/>
            <w:vAlign w:val="bottom"/>
            <w:tcBorders>
              <w:top w:val="single" w:sz="8" w:color="CCEEFF"/>
              <w:bottom w:val="single" w:sz="8" w:color="auto"/>
            </w:tcBorders>
          </w:tcPr>
          <w:p>
            <w:pPr>
              <w:spacing w:after="0" w:line="20" w:lineRule="exact"/>
              <w:rPr>
                <w:sz w:val="1"/>
                <w:szCs w:val="1"/>
                <w:color w:val="auto"/>
              </w:rPr>
            </w:pPr>
          </w:p>
        </w:tc>
        <w:tc>
          <w:tcPr>
            <w:tcW w:w="26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See accompanying Notes to Condensed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TORO COMPANY AND SUBSIDIARIES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Condensed Consolidated Statements of Cash Flows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(Dollars in millions)</w:t>
      </w:r>
    </w:p>
    <w:p>
      <w:pPr>
        <w:spacing w:after="0" w:line="115"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9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January 30, 2026</w:t>
            </w:r>
          </w:p>
        </w:tc>
        <w:tc>
          <w:tcPr>
            <w:tcW w:w="20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January 31, 2025</w:t>
            </w:r>
          </w:p>
        </w:tc>
      </w:tr>
      <w:tr>
        <w:trPr>
          <w:trHeight w:val="214"/>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0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20"/>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67.9</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52.8</w:t>
            </w:r>
          </w:p>
        </w:tc>
      </w:tr>
      <w:tr>
        <w:trPr>
          <w:trHeight w:val="22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earnings to net cash provided by (used in) operating activities:</w:t>
            </w:r>
          </w:p>
        </w:tc>
        <w:tc>
          <w:tcPr>
            <w:tcW w:w="10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7"/>
        </w:trPr>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income from finance affiliate</w:t>
            </w:r>
          </w:p>
        </w:tc>
        <w:tc>
          <w:tcPr>
            <w:tcW w:w="10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23"/>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Distributions from finance affiliate, net</w:t>
            </w:r>
          </w:p>
        </w:tc>
        <w:tc>
          <w:tcPr>
            <w:tcW w:w="10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3.9</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17"/>
        </w:trPr>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of property, plant, and equipment</w:t>
            </w:r>
          </w:p>
        </w:tc>
        <w:tc>
          <w:tcPr>
            <w:tcW w:w="1080" w:type="dxa"/>
            <w:vAlign w:val="bottom"/>
          </w:tcPr>
          <w:p>
            <w:pPr>
              <w:spacing w:after="0"/>
              <w:rPr>
                <w:sz w:val="18"/>
                <w:szCs w:val="18"/>
                <w:color w:val="auto"/>
              </w:rPr>
            </w:pPr>
          </w:p>
        </w:tc>
        <w:tc>
          <w:tcPr>
            <w:tcW w:w="15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23.2</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r>
      <w:tr>
        <w:trPr>
          <w:trHeight w:val="223"/>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other intangible assets</w:t>
            </w:r>
          </w:p>
        </w:tc>
        <w:tc>
          <w:tcPr>
            <w:tcW w:w="10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10.0</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17"/>
        </w:trPr>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80" w:type="dxa"/>
            <w:vAlign w:val="bottom"/>
          </w:tcPr>
          <w:p>
            <w:pPr>
              <w:spacing w:after="0"/>
              <w:rPr>
                <w:sz w:val="18"/>
                <w:szCs w:val="18"/>
                <w:color w:val="auto"/>
              </w:rPr>
            </w:pPr>
          </w:p>
        </w:tc>
        <w:tc>
          <w:tcPr>
            <w:tcW w:w="15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5.9</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23"/>
        </w:trPr>
        <w:tc>
          <w:tcPr>
            <w:tcW w:w="6960" w:type="dxa"/>
            <w:vAlign w:val="bottom"/>
            <w:shd w:val="clear" w:color="auto" w:fill="CCEEFF"/>
          </w:tcPr>
          <w:p>
            <w:pPr>
              <w:ind w:left="140"/>
              <w:spacing w:after="0" w:line="223" w:lineRule="exact"/>
              <w:rPr>
                <w:sz w:val="20"/>
                <w:szCs w:val="20"/>
                <w:color w:val="auto"/>
              </w:rPr>
            </w:pPr>
            <w:r>
              <w:rPr>
                <w:rFonts w:ascii="Times New Roman" w:cs="Times New Roman" w:eastAsia="Times New Roman" w:hAnsi="Times New Roman"/>
                <w:sz w:val="16"/>
                <w:szCs w:val="16"/>
                <w:color w:val="auto"/>
              </w:rPr>
              <w:t>Deferred income taxes</w:t>
            </w:r>
            <w:r>
              <w:rPr>
                <w:rFonts w:ascii="Times New Roman" w:cs="Times New Roman" w:eastAsia="Times New Roman" w:hAnsi="Times New Roman"/>
                <w:sz w:val="21"/>
                <w:szCs w:val="21"/>
                <w:color w:val="auto"/>
                <w:vertAlign w:val="superscript"/>
              </w:rPr>
              <w:t>2</w:t>
            </w:r>
          </w:p>
        </w:tc>
        <w:tc>
          <w:tcPr>
            <w:tcW w:w="10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17"/>
        </w:trPr>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0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23"/>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 net of the effect of acquisitions:</w:t>
            </w:r>
          </w:p>
        </w:tc>
        <w:tc>
          <w:tcPr>
            <w:tcW w:w="10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7"/>
        </w:trPr>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Receivables, net</w:t>
            </w:r>
          </w:p>
        </w:tc>
        <w:tc>
          <w:tcPr>
            <w:tcW w:w="10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r>
      <w:tr>
        <w:trPr>
          <w:trHeight w:val="223"/>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 net</w:t>
            </w:r>
          </w:p>
        </w:tc>
        <w:tc>
          <w:tcPr>
            <w:tcW w:w="10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w:t>
            </w:r>
          </w:p>
        </w:tc>
      </w:tr>
      <w:tr>
        <w:trPr>
          <w:trHeight w:val="220"/>
        </w:trPr>
        <w:tc>
          <w:tcPr>
            <w:tcW w:w="6960" w:type="dxa"/>
            <w:vAlign w:val="bottom"/>
          </w:tcPr>
          <w:p>
            <w:pPr>
              <w:ind w:left="140"/>
              <w:spacing w:after="0" w:line="220" w:lineRule="exact"/>
              <w:rPr>
                <w:sz w:val="20"/>
                <w:szCs w:val="20"/>
                <w:color w:val="auto"/>
              </w:rPr>
            </w:pPr>
            <w:r>
              <w:rPr>
                <w:rFonts w:ascii="Times New Roman" w:cs="Times New Roman" w:eastAsia="Times New Roman" w:hAnsi="Times New Roman"/>
                <w:sz w:val="16"/>
                <w:szCs w:val="16"/>
                <w:color w:val="auto"/>
              </w:rPr>
              <w:t>Other assets</w:t>
            </w:r>
            <w:r>
              <w:rPr>
                <w:rFonts w:ascii="Times New Roman" w:cs="Times New Roman" w:eastAsia="Times New Roman" w:hAnsi="Times New Roman"/>
                <w:sz w:val="21"/>
                <w:szCs w:val="21"/>
                <w:color w:val="auto"/>
                <w:vertAlign w:val="superscript"/>
              </w:rPr>
              <w:t>2</w:t>
            </w:r>
          </w:p>
        </w:tc>
        <w:tc>
          <w:tcPr>
            <w:tcW w:w="1080" w:type="dxa"/>
            <w:vAlign w:val="bottom"/>
          </w:tcPr>
          <w:p>
            <w:pPr>
              <w:spacing w:after="0"/>
              <w:rPr>
                <w:sz w:val="19"/>
                <w:szCs w:val="19"/>
                <w:color w:val="auto"/>
              </w:rPr>
            </w:pPr>
          </w:p>
        </w:tc>
        <w:tc>
          <w:tcPr>
            <w:tcW w:w="15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2.9</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220"/>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0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48.6</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20"/>
        </w:trPr>
        <w:tc>
          <w:tcPr>
            <w:tcW w:w="6960" w:type="dxa"/>
            <w:vAlign w:val="bottom"/>
            <w:tcBorders>
              <w:bottom w:val="single" w:sz="8" w:color="auto"/>
            </w:tcBorders>
          </w:tcPr>
          <w:p>
            <w:pPr>
              <w:ind w:left="140"/>
              <w:spacing w:after="0" w:line="220" w:lineRule="exact"/>
              <w:rPr>
                <w:sz w:val="20"/>
                <w:szCs w:val="20"/>
                <w:color w:val="auto"/>
              </w:rPr>
            </w:pPr>
            <w:r>
              <w:rPr>
                <w:rFonts w:ascii="Times New Roman" w:cs="Times New Roman" w:eastAsia="Times New Roman" w:hAnsi="Times New Roman"/>
                <w:sz w:val="16"/>
                <w:szCs w:val="16"/>
                <w:color w:val="auto"/>
              </w:rPr>
              <w:t>Other liabilities</w:t>
            </w:r>
            <w:r>
              <w:rPr>
                <w:rFonts w:ascii="Times New Roman" w:cs="Times New Roman" w:eastAsia="Times New Roman" w:hAnsi="Times New Roman"/>
                <w:sz w:val="21"/>
                <w:szCs w:val="21"/>
                <w:color w:val="auto"/>
                <w:vertAlign w:val="superscript"/>
              </w:rPr>
              <w:t>2</w:t>
            </w:r>
          </w:p>
        </w:tc>
        <w:tc>
          <w:tcPr>
            <w:tcW w:w="10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3.5</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w:t>
            </w:r>
          </w:p>
        </w:tc>
      </w:tr>
      <w:tr>
        <w:trPr>
          <w:trHeight w:val="210"/>
        </w:trPr>
        <w:tc>
          <w:tcPr>
            <w:tcW w:w="69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10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26.1</w:t>
            </w: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w:t>
            </w:r>
          </w:p>
        </w:tc>
      </w:tr>
      <w:tr>
        <w:trPr>
          <w:trHeight w:val="73"/>
        </w:trPr>
        <w:tc>
          <w:tcPr>
            <w:tcW w:w="69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22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0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7"/>
        </w:trPr>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10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r>
      <w:tr>
        <w:trPr>
          <w:trHeight w:val="223"/>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sales of property, plant, and equipment</w:t>
            </w:r>
          </w:p>
        </w:tc>
        <w:tc>
          <w:tcPr>
            <w:tcW w:w="10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11.4</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6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Acquisitions, net of cash received</w:t>
            </w:r>
          </w:p>
        </w:tc>
        <w:tc>
          <w:tcPr>
            <w:tcW w:w="10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(210.3)</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9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0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(210.4)</w:t>
            </w: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r>
      <w:tr>
        <w:trPr>
          <w:trHeight w:val="73"/>
        </w:trPr>
        <w:tc>
          <w:tcPr>
            <w:tcW w:w="69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r>
      <w:tr>
        <w:trPr>
          <w:trHeight w:val="213"/>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0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20"/>
        </w:trPr>
        <w:tc>
          <w:tcPr>
            <w:tcW w:w="6960" w:type="dxa"/>
            <w:vAlign w:val="bottom"/>
          </w:tcPr>
          <w:p>
            <w:pPr>
              <w:ind w:left="140"/>
              <w:spacing w:after="0" w:line="220" w:lineRule="exact"/>
              <w:rPr>
                <w:sz w:val="20"/>
                <w:szCs w:val="20"/>
                <w:color w:val="auto"/>
              </w:rPr>
            </w:pPr>
            <w:r>
              <w:rPr>
                <w:rFonts w:ascii="Times New Roman" w:cs="Times New Roman" w:eastAsia="Times New Roman" w:hAnsi="Times New Roman"/>
                <w:sz w:val="16"/>
                <w:szCs w:val="16"/>
                <w:color w:val="auto"/>
              </w:rPr>
              <w:t>Borrowings under debt arrangements</w:t>
            </w:r>
            <w:r>
              <w:rPr>
                <w:rFonts w:ascii="Times New Roman" w:cs="Times New Roman" w:eastAsia="Times New Roman" w:hAnsi="Times New Roman"/>
                <w:sz w:val="21"/>
                <w:szCs w:val="21"/>
                <w:color w:val="auto"/>
                <w:vertAlign w:val="superscript"/>
              </w:rPr>
              <w:t>1</w:t>
            </w:r>
          </w:p>
        </w:tc>
        <w:tc>
          <w:tcPr>
            <w:tcW w:w="1080" w:type="dxa"/>
            <w:vAlign w:val="bottom"/>
          </w:tcPr>
          <w:p>
            <w:pPr>
              <w:spacing w:after="0"/>
              <w:rPr>
                <w:sz w:val="19"/>
                <w:szCs w:val="19"/>
                <w:color w:val="auto"/>
              </w:rPr>
            </w:pPr>
          </w:p>
        </w:tc>
        <w:tc>
          <w:tcPr>
            <w:tcW w:w="15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220.0</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370.0</w:t>
            </w:r>
          </w:p>
        </w:tc>
      </w:tr>
      <w:tr>
        <w:trPr>
          <w:trHeight w:val="220"/>
        </w:trPr>
        <w:tc>
          <w:tcPr>
            <w:tcW w:w="6960" w:type="dxa"/>
            <w:vAlign w:val="bottom"/>
            <w:shd w:val="clear" w:color="auto" w:fill="CCEEFF"/>
          </w:tcPr>
          <w:p>
            <w:pPr>
              <w:ind w:left="140"/>
              <w:spacing w:after="0" w:line="220" w:lineRule="exact"/>
              <w:rPr>
                <w:sz w:val="20"/>
                <w:szCs w:val="20"/>
                <w:color w:val="auto"/>
              </w:rPr>
            </w:pPr>
            <w:r>
              <w:rPr>
                <w:rFonts w:ascii="Times New Roman" w:cs="Times New Roman" w:eastAsia="Times New Roman" w:hAnsi="Times New Roman"/>
                <w:sz w:val="16"/>
                <w:szCs w:val="16"/>
                <w:color w:val="auto"/>
              </w:rPr>
              <w:t>Repayments under debt arrangements</w:t>
            </w:r>
            <w:r>
              <w:rPr>
                <w:rFonts w:ascii="Times New Roman" w:cs="Times New Roman" w:eastAsia="Times New Roman" w:hAnsi="Times New Roman"/>
                <w:sz w:val="21"/>
                <w:szCs w:val="21"/>
                <w:color w:val="auto"/>
                <w:vertAlign w:val="superscript"/>
              </w:rPr>
              <w:t>1</w:t>
            </w:r>
          </w:p>
        </w:tc>
        <w:tc>
          <w:tcPr>
            <w:tcW w:w="10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(185.0)</w:t>
            </w:r>
          </w:p>
        </w:tc>
      </w:tr>
      <w:tr>
        <w:trPr>
          <w:trHeight w:val="217"/>
        </w:trPr>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080" w:type="dxa"/>
            <w:vAlign w:val="bottom"/>
          </w:tcPr>
          <w:p>
            <w:pPr>
              <w:spacing w:after="0"/>
              <w:rPr>
                <w:sz w:val="18"/>
                <w:szCs w:val="18"/>
                <w:color w:val="auto"/>
              </w:rPr>
            </w:pPr>
          </w:p>
        </w:tc>
        <w:tc>
          <w:tcPr>
            <w:tcW w:w="15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9.1</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23"/>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of withholding taxes for stock awards</w:t>
            </w:r>
          </w:p>
        </w:tc>
        <w:tc>
          <w:tcPr>
            <w:tcW w:w="10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7"/>
        </w:trPr>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Common stock repurchases</w:t>
            </w:r>
          </w:p>
        </w:tc>
        <w:tc>
          <w:tcPr>
            <w:tcW w:w="10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23"/>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paid on common stock</w:t>
            </w:r>
          </w:p>
        </w:tc>
        <w:tc>
          <w:tcPr>
            <w:tcW w:w="10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r>
      <w:tr>
        <w:trPr>
          <w:trHeight w:val="217"/>
        </w:trPr>
        <w:tc>
          <w:tcPr>
            <w:tcW w:w="6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0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3"/>
        </w:trPr>
        <w:tc>
          <w:tcPr>
            <w:tcW w:w="69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0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25.1</w:t>
            </w: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w:t>
            </w:r>
          </w:p>
        </w:tc>
      </w:tr>
      <w:tr>
        <w:trPr>
          <w:trHeight w:val="73"/>
        </w:trPr>
        <w:tc>
          <w:tcPr>
            <w:tcW w:w="69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217"/>
        </w:trPr>
        <w:tc>
          <w:tcPr>
            <w:tcW w:w="6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rates on cash and cash equivalents</w:t>
            </w:r>
          </w:p>
        </w:tc>
        <w:tc>
          <w:tcPr>
            <w:tcW w:w="10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7.2</w:t>
            </w: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73"/>
        </w:trPr>
        <w:tc>
          <w:tcPr>
            <w:tcW w:w="69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217"/>
        </w:trPr>
        <w:tc>
          <w:tcPr>
            <w:tcW w:w="6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10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w:t>
            </w: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r>
      <w:tr>
        <w:trPr>
          <w:trHeight w:val="213"/>
        </w:trPr>
        <w:tc>
          <w:tcPr>
            <w:tcW w:w="6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as of the beginning of the fiscal period</w:t>
            </w:r>
          </w:p>
        </w:tc>
        <w:tc>
          <w:tcPr>
            <w:tcW w:w="10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341.0</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199.5</w:t>
            </w:r>
          </w:p>
        </w:tc>
      </w:tr>
      <w:tr>
        <w:trPr>
          <w:trHeight w:val="238"/>
        </w:trPr>
        <w:tc>
          <w:tcPr>
            <w:tcW w:w="6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as of the end of the fiscal period</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189.0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171.3</w:t>
            </w:r>
          </w:p>
        </w:tc>
      </w:tr>
      <w:tr>
        <w:trPr>
          <w:trHeight w:val="20"/>
        </w:trPr>
        <w:tc>
          <w:tcPr>
            <w:tcW w:w="69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firstLine="3"/>
        <w:spacing w:after="0" w:line="220" w:lineRule="auto"/>
        <w:tabs>
          <w:tab w:leader="none" w:pos="102"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Presentation of prior year revolving credit facility and long-term debt activity has been conformed to the current year presentation. There was no change to net cash used in financing activities.</w:t>
      </w:r>
    </w:p>
    <w:p>
      <w:pPr>
        <w:spacing w:after="0" w:line="94" w:lineRule="exact"/>
        <w:rPr>
          <w:sz w:val="20"/>
          <w:szCs w:val="20"/>
          <w:color w:val="auto"/>
        </w:rPr>
      </w:pPr>
    </w:p>
    <w:p>
      <w:pPr>
        <w:ind w:right="1640" w:firstLine="3"/>
        <w:spacing w:after="0" w:line="338" w:lineRule="auto"/>
        <w:tabs>
          <w:tab w:leader="none" w:pos="84"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Presentation of prior year deferred income taxes has been conformed to the current year presentation. There was no change to net cash used in operating activities. See accompanying Notes to Condensed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TORO COMPANY AND SUBSIDIARIES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Condensed Consolidated Statements of Stockholders' Equity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(Dollars in millions, except per share data)</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1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358"/>
              <w:spacing w:after="0" w:line="168" w:lineRule="exact"/>
              <w:rPr>
                <w:sz w:val="20"/>
                <w:szCs w:val="20"/>
                <w:color w:val="auto"/>
              </w:rPr>
            </w:pPr>
            <w:r>
              <w:rPr>
                <w:rFonts w:ascii="Times New Roman" w:cs="Times New Roman" w:eastAsia="Times New Roman" w:hAnsi="Times New Roman"/>
                <w:sz w:val="16"/>
                <w:szCs w:val="16"/>
                <w:b w:val="1"/>
                <w:bCs w:val="1"/>
                <w:color w:val="auto"/>
              </w:rPr>
              <w:t>Common</w:t>
            </w:r>
          </w:p>
        </w:tc>
        <w:tc>
          <w:tcPr>
            <w:tcW w:w="2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338"/>
              <w:spacing w:after="0" w:line="168"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620" w:type="dxa"/>
            <w:vAlign w:val="bottom"/>
            <w:tcBorders>
              <w:top w:val="single" w:sz="8" w:color="auto"/>
            </w:tcBorders>
            <w:gridSpan w:val="2"/>
          </w:tcPr>
          <w:p>
            <w:pPr>
              <w:jc w:val="right"/>
              <w:ind w:right="18"/>
              <w:spacing w:after="0" w:line="168"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1480" w:type="dxa"/>
            <w:vAlign w:val="bottom"/>
            <w:tcBorders>
              <w:top w:val="single" w:sz="8" w:color="auto"/>
            </w:tcBorders>
            <w:gridSpan w:val="2"/>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auto"/>
              </w:rPr>
              <w:t>Total Stockholders'</w:t>
            </w:r>
          </w:p>
        </w:tc>
        <w:tc>
          <w:tcPr>
            <w:tcW w:w="0" w:type="dxa"/>
            <w:vAlign w:val="bottom"/>
          </w:tcPr>
          <w:p>
            <w:pPr>
              <w:spacing w:after="0"/>
              <w:rPr>
                <w:sz w:val="1"/>
                <w:szCs w:val="1"/>
                <w:color w:val="auto"/>
              </w:rPr>
            </w:pPr>
          </w:p>
        </w:tc>
      </w:tr>
      <w:tr>
        <w:trPr>
          <w:trHeight w:val="219"/>
        </w:trPr>
        <w:tc>
          <w:tcPr>
            <w:tcW w:w="5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1"/>
        </w:trPr>
        <w:tc>
          <w:tcPr>
            <w:tcW w:w="5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October 31, 2025</w:t>
            </w:r>
          </w:p>
        </w:tc>
        <w:tc>
          <w:tcPr>
            <w:tcW w:w="3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97.9</w:t>
            </w:r>
          </w:p>
        </w:tc>
        <w:tc>
          <w:tcPr>
            <w:tcW w:w="28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1,390.5</w:t>
            </w:r>
          </w:p>
        </w:tc>
        <w:tc>
          <w:tcPr>
            <w:tcW w:w="660" w:type="dxa"/>
            <w:vAlign w:val="bottom"/>
            <w:tcBorders>
              <w:bottom w:val="single" w:sz="8" w:color="auto"/>
            </w:tcBorders>
            <w:shd w:val="clear" w:color="auto" w:fill="CCEEFF"/>
          </w:tcPr>
          <w:p>
            <w:pPr>
              <w:jc w:val="right"/>
              <w:ind w:right="418"/>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34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1,453.3</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paid on common stock - $0.39 per share</w:t>
            </w:r>
          </w:p>
        </w:tc>
        <w:tc>
          <w:tcPr>
            <w:tcW w:w="320" w:type="dxa"/>
            <w:vAlign w:val="bottom"/>
          </w:tcPr>
          <w:p>
            <w:pPr>
              <w:spacing w:after="0"/>
              <w:rPr>
                <w:sz w:val="18"/>
                <w:szCs w:val="18"/>
                <w:color w:val="auto"/>
              </w:rPr>
            </w:pP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660" w:type="dxa"/>
            <w:vAlign w:val="bottom"/>
          </w:tcPr>
          <w:p>
            <w:pPr>
              <w:spacing w:after="0"/>
              <w:rPr>
                <w:sz w:val="18"/>
                <w:szCs w:val="18"/>
                <w:color w:val="auto"/>
              </w:rPr>
            </w:pP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0" w:type="dxa"/>
            <w:vAlign w:val="bottom"/>
          </w:tcPr>
          <w:p>
            <w:pPr>
              <w:spacing w:after="0"/>
              <w:rPr>
                <w:sz w:val="1"/>
                <w:szCs w:val="1"/>
                <w:color w:val="auto"/>
              </w:rPr>
            </w:pPr>
          </w:p>
        </w:tc>
      </w:tr>
      <w:tr>
        <w:trPr>
          <w:trHeight w:val="158"/>
        </w:trPr>
        <w:tc>
          <w:tcPr>
            <w:tcW w:w="512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Issuance of 188,194 shares of common stock under stock-based</w:t>
            </w:r>
          </w:p>
        </w:tc>
        <w:tc>
          <w:tcPr>
            <w:tcW w:w="3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12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compensation plans, less contribution of 3,302 shares of common stock to a</w:t>
            </w:r>
          </w:p>
        </w:tc>
        <w:tc>
          <w:tcPr>
            <w:tcW w:w="32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0.1</w:t>
            </w:r>
          </w:p>
        </w:tc>
        <w:tc>
          <w:tcPr>
            <w:tcW w:w="28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9.0</w:t>
            </w:r>
          </w:p>
        </w:tc>
        <w:tc>
          <w:tcPr>
            <w:tcW w:w="6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2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compensation trust</w:t>
            </w:r>
          </w:p>
        </w:tc>
        <w:tc>
          <w:tcPr>
            <w:tcW w:w="3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20" w:type="dxa"/>
            <w:vAlign w:val="bottom"/>
          </w:tcPr>
          <w:p>
            <w:pPr>
              <w:spacing w:after="0"/>
              <w:rPr>
                <w:sz w:val="18"/>
                <w:szCs w:val="18"/>
                <w:color w:val="auto"/>
              </w:rPr>
            </w:pP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5.9</w:t>
            </w:r>
          </w:p>
        </w:tc>
        <w:tc>
          <w:tcPr>
            <w:tcW w:w="660" w:type="dxa"/>
            <w:vAlign w:val="bottom"/>
          </w:tcPr>
          <w:p>
            <w:pPr>
              <w:spacing w:after="0"/>
              <w:rPr>
                <w:sz w:val="18"/>
                <w:szCs w:val="18"/>
                <w:color w:val="auto"/>
              </w:rPr>
            </w:pP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1,141,531 shares of common stock</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6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w:t>
            </w:r>
          </w:p>
        </w:tc>
        <w:tc>
          <w:tcPr>
            <w:tcW w:w="0" w:type="dxa"/>
            <w:vAlign w:val="bottom"/>
          </w:tcPr>
          <w:p>
            <w:pPr>
              <w:spacing w:after="0"/>
              <w:rPr>
                <w:sz w:val="1"/>
                <w:szCs w:val="1"/>
                <w:color w:val="auto"/>
              </w:rPr>
            </w:pPr>
          </w:p>
        </w:tc>
      </w:tr>
      <w:tr>
        <w:trPr>
          <w:trHeight w:val="217"/>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320" w:type="dxa"/>
            <w:vAlign w:val="bottom"/>
          </w:tcPr>
          <w:p>
            <w:pPr>
              <w:spacing w:after="0"/>
              <w:rPr>
                <w:sz w:val="18"/>
                <w:szCs w:val="18"/>
                <w:color w:val="auto"/>
              </w:rPr>
            </w:pP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8"/>
                <w:szCs w:val="18"/>
                <w:color w:val="auto"/>
              </w:rPr>
            </w:pP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17.8</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0" w:type="dxa"/>
            <w:vAlign w:val="bottom"/>
          </w:tcPr>
          <w:p>
            <w:pPr>
              <w:spacing w:after="0"/>
              <w:rPr>
                <w:sz w:val="1"/>
                <w:szCs w:val="1"/>
                <w:color w:val="auto"/>
              </w:rPr>
            </w:pPr>
          </w:p>
        </w:tc>
      </w:tr>
      <w:tr>
        <w:trPr>
          <w:trHeight w:val="220"/>
        </w:trPr>
        <w:tc>
          <w:tcPr>
            <w:tcW w:w="5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67.9</w:t>
            </w:r>
          </w:p>
        </w:tc>
        <w:tc>
          <w:tcPr>
            <w:tcW w:w="6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w:t>
            </w:r>
          </w:p>
        </w:tc>
        <w:tc>
          <w:tcPr>
            <w:tcW w:w="0" w:type="dxa"/>
            <w:vAlign w:val="bottom"/>
          </w:tcPr>
          <w:p>
            <w:pPr>
              <w:spacing w:after="0"/>
              <w:rPr>
                <w:sz w:val="1"/>
                <w:szCs w:val="1"/>
                <w:color w:val="auto"/>
              </w:rPr>
            </w:pPr>
          </w:p>
        </w:tc>
      </w:tr>
      <w:tr>
        <w:trPr>
          <w:trHeight w:val="213"/>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Balance as of January 30, 2026</w:t>
            </w:r>
          </w:p>
        </w:tc>
        <w:tc>
          <w:tcPr>
            <w:tcW w:w="32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96.9</w:t>
            </w:r>
          </w:p>
        </w:tc>
        <w:tc>
          <w:tcPr>
            <w:tcW w:w="28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1,339.6</w:t>
            </w:r>
          </w:p>
        </w:tc>
        <w:tc>
          <w:tcPr>
            <w:tcW w:w="66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3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1,419.2</w:t>
            </w:r>
          </w:p>
        </w:tc>
        <w:tc>
          <w:tcPr>
            <w:tcW w:w="0" w:type="dxa"/>
            <w:vAlign w:val="bottom"/>
          </w:tcPr>
          <w:p>
            <w:pPr>
              <w:spacing w:after="0"/>
              <w:rPr>
                <w:sz w:val="1"/>
                <w:szCs w:val="1"/>
                <w:color w:val="auto"/>
              </w:rPr>
            </w:pPr>
          </w:p>
        </w:tc>
      </w:tr>
      <w:tr>
        <w:trPr>
          <w:trHeight w:val="22"/>
        </w:trPr>
        <w:tc>
          <w:tcPr>
            <w:tcW w:w="5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
        </w:trPr>
        <w:tc>
          <w:tcPr>
            <w:tcW w:w="51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October 31, 2024</w:t>
            </w:r>
          </w:p>
        </w:tc>
        <w:tc>
          <w:tcPr>
            <w:tcW w:w="3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101.5</w:t>
            </w:r>
          </w:p>
        </w:tc>
        <w:tc>
          <w:tcPr>
            <w:tcW w:w="28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1,496.4</w:t>
            </w:r>
          </w:p>
        </w:tc>
        <w:tc>
          <w:tcPr>
            <w:tcW w:w="660" w:type="dxa"/>
            <w:vAlign w:val="bottom"/>
            <w:tcBorders>
              <w:bottom w:val="single" w:sz="8" w:color="auto"/>
            </w:tcBorders>
            <w:shd w:val="clear" w:color="auto" w:fill="CCEEFF"/>
          </w:tcPr>
          <w:p>
            <w:pPr>
              <w:jc w:val="right"/>
              <w:ind w:right="418"/>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34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1,551.9</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paid on common stock - $0.38 per share</w:t>
            </w:r>
          </w:p>
        </w:tc>
        <w:tc>
          <w:tcPr>
            <w:tcW w:w="320" w:type="dxa"/>
            <w:vAlign w:val="bottom"/>
          </w:tcPr>
          <w:p>
            <w:pPr>
              <w:spacing w:after="0"/>
              <w:rPr>
                <w:sz w:val="18"/>
                <w:szCs w:val="18"/>
                <w:color w:val="auto"/>
              </w:rPr>
            </w:pP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660" w:type="dxa"/>
            <w:vAlign w:val="bottom"/>
          </w:tcPr>
          <w:p>
            <w:pPr>
              <w:spacing w:after="0"/>
              <w:rPr>
                <w:sz w:val="18"/>
                <w:szCs w:val="18"/>
                <w:color w:val="auto"/>
              </w:rPr>
            </w:pP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0" w:type="dxa"/>
            <w:vAlign w:val="bottom"/>
          </w:tcPr>
          <w:p>
            <w:pPr>
              <w:spacing w:after="0"/>
              <w:rPr>
                <w:sz w:val="1"/>
                <w:szCs w:val="1"/>
                <w:color w:val="auto"/>
              </w:rPr>
            </w:pPr>
          </w:p>
        </w:tc>
      </w:tr>
      <w:tr>
        <w:trPr>
          <w:trHeight w:val="158"/>
        </w:trPr>
        <w:tc>
          <w:tcPr>
            <w:tcW w:w="512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Issuance of 96,329 shares of common stock under stock-based compensation</w:t>
            </w:r>
          </w:p>
        </w:tc>
        <w:tc>
          <w:tcPr>
            <w:tcW w:w="32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0.7</w:t>
            </w:r>
          </w:p>
        </w:tc>
        <w:tc>
          <w:tcPr>
            <w:tcW w:w="6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2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plans, less contribution of 8,673 shares to a deferred compensation trust</w:t>
            </w:r>
          </w:p>
        </w:tc>
        <w:tc>
          <w:tcPr>
            <w:tcW w:w="3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20" w:type="dxa"/>
            <w:vAlign w:val="bottom"/>
          </w:tcPr>
          <w:p>
            <w:pPr>
              <w:spacing w:after="0"/>
              <w:rPr>
                <w:sz w:val="18"/>
                <w:szCs w:val="18"/>
                <w:color w:val="auto"/>
              </w:rPr>
            </w:pP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4.4</w:t>
            </w:r>
          </w:p>
        </w:tc>
        <w:tc>
          <w:tcPr>
            <w:tcW w:w="660" w:type="dxa"/>
            <w:vAlign w:val="bottom"/>
          </w:tcPr>
          <w:p>
            <w:pPr>
              <w:spacing w:after="0"/>
              <w:rPr>
                <w:sz w:val="18"/>
                <w:szCs w:val="18"/>
                <w:color w:val="auto"/>
              </w:rPr>
            </w:pP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1,260,065 shares of common stock</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w:t>
            </w:r>
          </w:p>
        </w:tc>
        <w:tc>
          <w:tcPr>
            <w:tcW w:w="6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w:t>
            </w:r>
          </w:p>
        </w:tc>
        <w:tc>
          <w:tcPr>
            <w:tcW w:w="0" w:type="dxa"/>
            <w:vAlign w:val="bottom"/>
          </w:tcPr>
          <w:p>
            <w:pPr>
              <w:spacing w:after="0"/>
              <w:rPr>
                <w:sz w:val="1"/>
                <w:szCs w:val="1"/>
                <w:color w:val="auto"/>
              </w:rPr>
            </w:pPr>
          </w:p>
        </w:tc>
      </w:tr>
      <w:tr>
        <w:trPr>
          <w:trHeight w:val="217"/>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320" w:type="dxa"/>
            <w:vAlign w:val="bottom"/>
          </w:tcPr>
          <w:p>
            <w:pPr>
              <w:spacing w:after="0"/>
              <w:rPr>
                <w:sz w:val="18"/>
                <w:szCs w:val="18"/>
                <w:color w:val="auto"/>
              </w:rPr>
            </w:pP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20"/>
        </w:trPr>
        <w:tc>
          <w:tcPr>
            <w:tcW w:w="5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52.8</w:t>
            </w:r>
          </w:p>
        </w:tc>
        <w:tc>
          <w:tcPr>
            <w:tcW w:w="6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0" w:type="dxa"/>
            <w:vAlign w:val="bottom"/>
          </w:tcPr>
          <w:p>
            <w:pPr>
              <w:spacing w:after="0"/>
              <w:rPr>
                <w:sz w:val="1"/>
                <w:szCs w:val="1"/>
                <w:color w:val="auto"/>
              </w:rPr>
            </w:pPr>
          </w:p>
        </w:tc>
      </w:tr>
      <w:tr>
        <w:trPr>
          <w:trHeight w:val="213"/>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Balance as of January 31, 2025</w:t>
            </w:r>
          </w:p>
        </w:tc>
        <w:tc>
          <w:tcPr>
            <w:tcW w:w="32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100.3</w:t>
            </w:r>
          </w:p>
        </w:tc>
        <w:tc>
          <w:tcPr>
            <w:tcW w:w="28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1,414.5</w:t>
            </w:r>
          </w:p>
        </w:tc>
        <w:tc>
          <w:tcPr>
            <w:tcW w:w="66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3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1,467.6</w:t>
            </w:r>
          </w:p>
        </w:tc>
        <w:tc>
          <w:tcPr>
            <w:tcW w:w="0" w:type="dxa"/>
            <w:vAlign w:val="bottom"/>
          </w:tcPr>
          <w:p>
            <w:pPr>
              <w:spacing w:after="0"/>
              <w:rPr>
                <w:sz w:val="1"/>
                <w:szCs w:val="1"/>
                <w:color w:val="auto"/>
              </w:rPr>
            </w:pPr>
          </w:p>
        </w:tc>
      </w:tr>
      <w:tr>
        <w:trPr>
          <w:trHeight w:val="22"/>
        </w:trPr>
        <w:tc>
          <w:tcPr>
            <w:tcW w:w="5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See accompanying Notes to Condensed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TORO COMPANY AND SUBSIDIARIES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January 30, 2026</w:t>
      </w:r>
    </w:p>
    <w:p>
      <w:pPr>
        <w:spacing w:after="0" w:line="332" w:lineRule="exact"/>
        <w:rPr>
          <w:sz w:val="20"/>
          <w:szCs w:val="20"/>
          <w:color w:val="auto"/>
        </w:rPr>
      </w:pPr>
    </w:p>
    <w:p>
      <w:pPr>
        <w:ind w:left="600" w:hanging="579"/>
        <w:spacing w:after="0"/>
        <w:tabs>
          <w:tab w:leader="none" w:pos="600" w:val="left"/>
        </w:tabs>
        <w:numPr>
          <w:ilvl w:val="0"/>
          <w:numId w:val="7"/>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Basis of Presentation</w:t>
      </w:r>
    </w:p>
    <w:p>
      <w:pPr>
        <w:spacing w:after="0" w:line="9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have been prepared in accordance with the instructions to Form 10-Q and do not include all the information and notes required by United States ("U.S.") generally accepted accounting principles ("GAAP") for complete financial statements. Unless the context indicates otherwise, the terms "company," "TTC," "we," "our," or "us" refer to The Toro Company and its consolidated subsidiaries. All intercompany accounts and transactions have been eliminated from the unaudited Condensed Consolidated Financial Statements.</w:t>
      </w:r>
    </w:p>
    <w:p>
      <w:pPr>
        <w:spacing w:after="0" w:line="6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 the opinion of management, the unaudited Condensed Consolidated Financial Statements include all adjustments, consisting primarily of recurring accruals, considered necessary for the fair presentation of the company's consolidated financial position, results of operations, and cash flows for the periods presented. Due to seasonality within the industries in which the company's businesses operate, among other factors, operating results for the three months ended January 30, 2026 cannot be annualized to determine the expected results for the fiscal year ending October 31, 2026.</w:t>
      </w:r>
    </w:p>
    <w:p>
      <w:pPr>
        <w:spacing w:after="0" w:line="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company’s fiscal year ends on October 31 and quarterly results are reported based on three-month periods that generally end on the Friday closest to the calendar quarter end. For comparative purposes, however, the company’s second and third quarters always include exactly 13 weeks of results so that the quarter end date for these two quarters is not necessarily the Friday closest to the calendar month end.</w:t>
      </w:r>
    </w:p>
    <w:p>
      <w:pPr>
        <w:spacing w:after="0" w:line="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For further information regarding the company's basis of presentation, refer to the Consolidated Financial Statements and Notes to Consolidated Financial Statements included in the company’s Annual Report on Form 10-K for the fiscal year ended October 31, 2025. The policies described in that report are used for preparing the company's quarterly reports on Form 10-Q.</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Accounting Policies and Estimates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preparing the Condensed Consolidated Financial Statements in conformity with U.S. GAAP, management must make decisions that impact the reported amounts of assets, liabilities, revenues, expenses, and the related disclosures, including disclosures of contingent assets and liabilities. Such decisions include the selection of the appropriate accounting principles to be applied and the assumptions on which to base accounting estimates. Estimates are used in determining, among other items, sales promotion and incentive accruals, incentive compensation accruals, income tax accruals, inventory valuation, warranty accruals, allowances for current expected credit losses, pension accruals, self-insurance accruals, legal accruals, right-of-use assets and lease liabilities, useful lives for tangible and finite-lived intangible assets, future cash flows associated with impairment testing for goodwill, indefinite-lived intangible assets and other long-lived assets, and valuations of the assets acquired and liabilities assumed in a business combination or an asset acquisition, when applicable. These estimates and assumptions are based on management’s best estimates and judgments at the time they are made and are generally derived from management's understanding and analysis of the relevant and current circumstances, historical experience, and actuarial and other independent external third-party specialist valuations, when applicable. Management evaluates its estimates and assumptions on an ongoing basis using historical experience and other factors that management believes to be reasonable under the circumstances, including the economic environment. Management adjusts such estimates and assumptions when facts and circumstances dictate. As future events and their effects cannot be determined with certainty, actual amounts could differ significantly from those estimated at the time the Condensed Consolidated Financial Statements are prepared.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New Accounting Pronouncements</w:t>
      </w:r>
    </w:p>
    <w:p>
      <w:pPr>
        <w:spacing w:after="0" w:line="1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September 2025, the Financial Accounting Standards Board ("FASB") issued accounting standard update ("ASU") No. 2025-06, Intangibles—Goodwill and Other—Internal-Use Software (Subtopic 350-40): Targeted Improvements to the Accounting for Internal-Use Software, which is intended to modernize the accounting for software costs that are accounted for under Subtopic 350-40 by replacing the stage-based model with a principles-based approach. The amended guidance will become effective for the company's fiscal 2029 annual period and interim periods beginning with the first quarter of fiscal 2029. Early adoption is permitted. The company is currently evaluating the impact of this new standard on its Condensed Consolidated Financial Statements and related disclosures.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July 2025, the FASB issued ASU No. 2025-05, Financial Instruments—Credit Losses (Topic 326): Measurement of Credit Losses for Accounts Receivable and Contract Assets, which is intended to improve guidance on the measurement of credit losses on accounts receivable and contract assets. The amended guidance is optional and, if the company elects the practical expedient, will become effective for the company's fiscal 2027 annual period and interim periods beginning with the first quarter of fiscal 2027. Early adoption is permitted. The company is currently evaluating the impact of this new standard on its Condensed Consolidated Financial Statements and related disclosures.</w:t>
      </w:r>
    </w:p>
    <w:p>
      <w:pPr>
        <w:spacing w:after="0" w:line="7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November 2024, the FASB issued ASU No. 2024-03, Income Statement—Reporting Comprehensive Income—Expense Disaggregation Disclosures (Subtopic 220-40): Disaggregation of Income Statement Expenses, which is intended to improve disclosures about a public business entity’s expenses by requiring disaggregated quantitative disclosure, in the notes to the financial statements, of prescribed expense categories included within relevant income statement expense captions. The amended guidance will become effective for the company's fiscal 2028 annual period, and interim periods beginning with the first quarter of fiscal 2029. The company is currently evaluating the impact of this new standard on its Condensed Consolidated Financial Statements and related disclosures.</w:t>
      </w:r>
    </w:p>
    <w:p>
      <w:pPr>
        <w:spacing w:after="0" w:line="7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 December 2023, the FASB issued ASU No. 2023-09, Income Taxes (Topic 740): Improvements to income tax disclosures, which is designed to enhance the transparency and decision usefulness of income tax disclosures primarily related to the rate reconciliation and income taxes paid information. The amended guidance will become effective for the company's fiscal 2026 annual period. The company is currently evaluating the impact of this new standard on its Condensed Consolidated Financial Statements and related disclosures.</w:t>
      </w:r>
    </w:p>
    <w:p>
      <w:pPr>
        <w:spacing w:after="0" w:line="67"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company believes that all other recently issued accounting pronouncements from the FASB that the company has not noted above will not have a material impact on its Condensed Consolidated Financial Statements or do not apply to its operations.</w:t>
      </w:r>
    </w:p>
    <w:p>
      <w:pPr>
        <w:spacing w:after="0" w:line="75" w:lineRule="exact"/>
        <w:rPr>
          <w:sz w:val="20"/>
          <w:szCs w:val="20"/>
          <w:color w:val="auto"/>
        </w:rPr>
      </w:pPr>
    </w:p>
    <w:p>
      <w:pPr>
        <w:ind w:left="700" w:hanging="679"/>
        <w:spacing w:after="0"/>
        <w:tabs>
          <w:tab w:leader="none" w:pos="700" w:val="left"/>
        </w:tabs>
        <w:numPr>
          <w:ilvl w:val="0"/>
          <w:numId w:val="8"/>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Acquisitions and Divestitures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Tornado Infrastructure Equipment Ltd. ("Tornado Infrastructure Equipment")</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On December 8, 2025 ("closing date"), pursuant to an Arrangement Agreement ("Purchase Agreement") dated October 6, 2025, the company completed its acquisition of Tornado Infrastructure Equipment, a publicly held Canadian company and a manufacturer in the hydrovac excavation solutions industry. Tornado Infrastructure Equipment manufactures hydrovac excavation solutions and industrial equipment solutions for the underground construction, power transmission and energy markets and provides innovative product offerings that broaden and strengthen the company's Professional segment and expands its dealer network.</w:t>
      </w:r>
    </w:p>
    <w:p>
      <w:pPr>
        <w:spacing w:after="0" w:line="6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Tornado Infrastructure Equipment acquisition was structured as an equity purchase, pursuant to which the company acquired 100 percent of the equity interests of the legal entities that comprised Tornado Infrastructure Equipment, with the legal entities continuing as surviving entities and wholly-owned subsidiaries of the company. As part of the acquisition, the company also acquired the real property used by Tornado Infrastructure Equipment. The cash consideration, net of cash acquired, was $210.3 million ("purchase price"). The company funded the purchase price with borrowings under its existing revolving credit facility. As a result of the acquisition, the company incurred approximately $2.2 million of acquisition-related transaction costs during the three-month period ended January 30, 2026. Acquisition-related transaction costs are recorded within selling, general and administrative expense within the Condensed Consolidated Statements of Earnings.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Preliminary Fair Value Measurements</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accounted for the acquisition in accordance with the accounting standards codification guidance which requires identifiable assets acquired and liabilities assumed to be measured at their estimated fair values as of the closing date. The company believes that the information available as of the closing date provides a reasonable basis for estimating fair values of the assets acquired and liabilities assumed; however, the company is continuing to finalize these amounts. Thus, the preliminary measurements of the fair values of the assets acquired and liabilities assumed within the preliminary purchase price allocation are subject to change as additional information becomes available and as additional analysis is performed. The company expects to finalize its preliminary valuation and complete the allocation of the preliminary purchase price as soon as practicable, but no later than one year from the closing date of the acquisition, as required.</w:t>
      </w:r>
    </w:p>
    <w:p>
      <w:pPr>
        <w:spacing w:after="0" w:line="73"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following table summarizes the preliminary estimated fair values assigned to the assets acquired and liabilities assumed. These preliminary fair values are based on internal company and independent external third-party valuations and are subject to change as certain asset and liability valuations are finalized:</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3540" w:type="dxa"/>
            <w:vAlign w:val="bottom"/>
            <w:tcBorders>
              <w:top w:val="single" w:sz="8" w:color="auto"/>
              <w:bottom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December 8, 2025</w:t>
            </w:r>
          </w:p>
        </w:tc>
      </w:tr>
      <w:tr>
        <w:trPr>
          <w:trHeight w:val="194"/>
        </w:trPr>
        <w:tc>
          <w:tcPr>
            <w:tcW w:w="6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shd w:val="clear" w:color="auto" w:fill="CCEEFF"/>
              </w:rPr>
              <w:t>Cash and cash equivalents</w:t>
            </w:r>
          </w:p>
        </w:tc>
        <w:tc>
          <w:tcPr>
            <w:tcW w:w="3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r>
      <w:tr>
        <w:trPr>
          <w:trHeight w:val="217"/>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Receivables</w:t>
            </w:r>
          </w:p>
        </w:tc>
        <w:tc>
          <w:tcPr>
            <w:tcW w:w="35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03"/>
        </w:trPr>
        <w:tc>
          <w:tcPr>
            <w:tcW w:w="6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shd w:val="clear" w:color="auto" w:fill="CCEEFF"/>
              </w:rPr>
              <w:t>Inventories</w:t>
            </w:r>
          </w:p>
        </w:tc>
        <w:tc>
          <w:tcPr>
            <w:tcW w:w="354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w:t>
            </w:r>
          </w:p>
        </w:tc>
      </w:tr>
      <w:tr>
        <w:trPr>
          <w:trHeight w:val="217"/>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5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03"/>
        </w:trPr>
        <w:tc>
          <w:tcPr>
            <w:tcW w:w="6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shd w:val="clear" w:color="auto" w:fill="CCEEFF"/>
              </w:rPr>
              <w:t>Property, plant, and equipment, net</w:t>
            </w:r>
          </w:p>
        </w:tc>
        <w:tc>
          <w:tcPr>
            <w:tcW w:w="354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r>
      <w:tr>
        <w:trPr>
          <w:trHeight w:val="217"/>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Right-of-use assets, net</w:t>
            </w:r>
          </w:p>
        </w:tc>
        <w:tc>
          <w:tcPr>
            <w:tcW w:w="35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03"/>
        </w:trPr>
        <w:tc>
          <w:tcPr>
            <w:tcW w:w="6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shd w:val="clear" w:color="auto" w:fill="CCEEFF"/>
              </w:rPr>
              <w:t>Goodwill</w:t>
            </w:r>
          </w:p>
        </w:tc>
        <w:tc>
          <w:tcPr>
            <w:tcW w:w="354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137.6</w:t>
            </w:r>
          </w:p>
        </w:tc>
      </w:tr>
      <w:tr>
        <w:trPr>
          <w:trHeight w:val="217"/>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intangible assets:</w:t>
            </w:r>
          </w:p>
        </w:tc>
        <w:tc>
          <w:tcPr>
            <w:tcW w:w="35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w:t>
            </w:r>
          </w:p>
        </w:tc>
      </w:tr>
      <w:tr>
        <w:trPr>
          <w:trHeight w:val="203"/>
        </w:trPr>
        <w:tc>
          <w:tcPr>
            <w:tcW w:w="6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shd w:val="clear" w:color="auto" w:fill="CCEEFF"/>
              </w:rPr>
              <w:t>Indefinite-lived trade name</w:t>
            </w:r>
          </w:p>
        </w:tc>
        <w:tc>
          <w:tcPr>
            <w:tcW w:w="354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r>
      <w:tr>
        <w:trPr>
          <w:trHeight w:val="217"/>
        </w:trPr>
        <w:tc>
          <w:tcPr>
            <w:tcW w:w="6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Finite-lived developed technology</w:t>
            </w:r>
          </w:p>
        </w:tc>
        <w:tc>
          <w:tcPr>
            <w:tcW w:w="35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223"/>
        </w:trPr>
        <w:tc>
          <w:tcPr>
            <w:tcW w:w="6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Finite-lived customer-related</w:t>
            </w:r>
          </w:p>
        </w:tc>
        <w:tc>
          <w:tcPr>
            <w:tcW w:w="35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r>
      <w:tr>
        <w:trPr>
          <w:trHeight w:val="217"/>
        </w:trPr>
        <w:tc>
          <w:tcPr>
            <w:tcW w:w="6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Finite-lived backlog</w:t>
            </w:r>
          </w:p>
        </w:tc>
        <w:tc>
          <w:tcPr>
            <w:tcW w:w="35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23"/>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assets</w:t>
            </w:r>
          </w:p>
        </w:tc>
        <w:tc>
          <w:tcPr>
            <w:tcW w:w="35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7"/>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35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r>
      <w:tr>
        <w:trPr>
          <w:trHeight w:val="223"/>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liabilities</w:t>
            </w:r>
          </w:p>
        </w:tc>
        <w:tc>
          <w:tcPr>
            <w:tcW w:w="35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r>
      <w:tr>
        <w:trPr>
          <w:trHeight w:val="217"/>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lease liabilities</w:t>
            </w:r>
          </w:p>
        </w:tc>
        <w:tc>
          <w:tcPr>
            <w:tcW w:w="35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23"/>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lease liabilities</w:t>
            </w:r>
          </w:p>
        </w:tc>
        <w:tc>
          <w:tcPr>
            <w:tcW w:w="35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7"/>
        </w:trPr>
        <w:tc>
          <w:tcPr>
            <w:tcW w:w="6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Deferred income tax liabilities</w:t>
            </w:r>
          </w:p>
        </w:tc>
        <w:tc>
          <w:tcPr>
            <w:tcW w:w="35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w:t>
            </w:r>
          </w:p>
        </w:tc>
      </w:tr>
      <w:tr>
        <w:trPr>
          <w:trHeight w:val="216"/>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fair value of net assets acquired</w:t>
            </w:r>
          </w:p>
        </w:tc>
        <w:tc>
          <w:tcPr>
            <w:tcW w:w="35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231.6</w:t>
            </w:r>
          </w:p>
        </w:tc>
      </w:tr>
      <w:tr>
        <w:trPr>
          <w:trHeight w:val="217"/>
        </w:trPr>
        <w:tc>
          <w:tcPr>
            <w:tcW w:w="6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Less: cash and cash equivalents acquired</w:t>
            </w:r>
          </w:p>
        </w:tc>
        <w:tc>
          <w:tcPr>
            <w:tcW w:w="35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w:t>
            </w:r>
          </w:p>
        </w:tc>
      </w:tr>
      <w:tr>
        <w:trPr>
          <w:trHeight w:val="238"/>
        </w:trPr>
        <w:tc>
          <w:tcPr>
            <w:tcW w:w="6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purchase price</w:t>
            </w:r>
          </w:p>
        </w:tc>
        <w:tc>
          <w:tcPr>
            <w:tcW w:w="3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210.3</w:t>
            </w:r>
          </w:p>
        </w:tc>
      </w:tr>
      <w:tr>
        <w:trPr>
          <w:trHeight w:val="20"/>
        </w:trPr>
        <w:tc>
          <w:tcPr>
            <w:tcW w:w="6180" w:type="dxa"/>
            <w:vAlign w:val="bottom"/>
            <w:tcBorders>
              <w:top w:val="single" w:sz="8" w:color="CCEEFF"/>
              <w:bottom w:val="single" w:sz="8" w:color="auto"/>
            </w:tcBorders>
          </w:tcPr>
          <w:p>
            <w:pPr>
              <w:spacing w:after="0" w:line="20" w:lineRule="exact"/>
              <w:rPr>
                <w:sz w:val="1"/>
                <w:szCs w:val="1"/>
                <w:color w:val="auto"/>
              </w:rPr>
            </w:pPr>
          </w:p>
        </w:tc>
        <w:tc>
          <w:tcPr>
            <w:tcW w:w="35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goodwill recognized is primarily attributable to the value of the workforce, the reputation of Tornado Infrastructure Equipment, expected future cash flows, and expected synergies, including customer and dealer growth opportunities, integrating and expanding existing product lines, and cost reduction initiatives. Key areas of expected cost reduction synergies include increased purchasing power for commodities, components, parts, and supply chain consolidation. The goodwill resulting from the acquisition of Tornado Infrastructure Equipment was recognized within the company's Professional segment and is the primary driver for the increase in the company's Professional segment goodwill to $582.1 million as of January 30, 2026 from $440.9 million as of October 31, 2025. Goodwill is non-deductible for tax purposes.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Intangible Assets Acquired</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As mentioned above, the company has yet to substantially complete its analysis and valuation for measuring the fair values of the acquired other intangible assets. The company expects to finalize its preliminary valuation of other intangible assets as soon as practicable, but no later than one year from the closing date of the acquisition, as required. The preliminary allocation of the purchase price to the net assets acquired resulted in the recognition of $63.8 million of other intangible assets as of the closing date. The useful lives of the developed technology, customer-related, and backlog intangible assets were determined based on the period of expected cash flows used to measure the fair value of the respective intangible assets adjusted as appropriate for entity-specific factors including legal, regulatory, contractual, competitive, economic, and/or other factors that may limit the useful life of the respective intangible asset.</w:t>
      </w:r>
    </w:p>
    <w:p>
      <w:pPr>
        <w:spacing w:after="0" w:line="73"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Amortization expense for the finite-lived intangible assets resulting from the acquisition of Tornado Infrastructure Equipment for the three-month period ended January 30, 2026 was $2.6 million.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Results of Operations</w:t>
      </w:r>
    </w:p>
    <w:p>
      <w:pPr>
        <w:spacing w:after="0" w:line="1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Tornado Infrastructure Equipment's results of operations are included within the company's Professional reportable segment in the company's Condensed Consolidated Financial Statements from the closing date. For the three-month period ended January 30, 2026, the company recognized $19.0 million of net sales from Tornado Infrastructure Equipment's operations. Tornado Infrastructure Equipment's operations had an immaterial impact on Professional segment earnings for the three-month period ended January 30, 2026. Unaudited pro forma financial information is not disclosed as the Tornado Infrastructure Equipment acquisition was not considered material to the company's Consolidated Results of Operations.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0" w:hanging="579"/>
        <w:spacing w:after="0"/>
        <w:tabs>
          <w:tab w:leader="none" w:pos="600" w:val="left"/>
        </w:tabs>
        <w:numPr>
          <w:ilvl w:val="0"/>
          <w:numId w:val="9"/>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Segment Data</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company's businesses are organized, managed, and internally grouped into segments based on similarities in products and services. Segment determination is based on the manner in which the Chief Operating Decision Maker "CODM" organizes segments for making operating and investment decisions and assessing performance. The company has identified eight operating segments and has aggregated certain of those operating segments into two reportable segments: Professional and Residential. The aggregation of the company's segments is based on the segments having the following similarities: economic characteristics, types of products and services, types of production processes, type or class of customers, and method of distribution. For a summary of our products by market for our Professional and Residential reportable segments, refer to refer to Part I, Item 1, "Business," of the company’s Annual Report on Form 10-K for the fiscal year ended October 31, 2025.</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company's remaining activities consist of a wholly-owned domestic distribution company, certain corporate activities, and the elimination of intersegment revenues and expenses. Corporate activities include general corporate expenditures (finance, human resources, legal, information technology, public relations, business development, and similar activities) and other unallocated corporate assets and liabilities, such as corporate facilities, severance and termination benefits, facility exit costs, and deferred tax assets and liabilities. These remaining activities are presented as "Other" due to their insignificance.</w:t>
      </w:r>
    </w:p>
    <w:p>
      <w:pPr>
        <w:spacing w:after="0" w:line="6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Our CODM is the Chairman of the Board and Chief Executive Officer. The CODM predominantly evaluates the performance of our segments using earnings before interest and taxes (“EBIT”). This metric provides our CODM with a comprehensive view of each segment’s profitability, enabling informed decision-making and effective resource allocation. The CODM regularly reviews EBIT to monitor progress against performance targets, focusing on actual-to-plan variances. These assessments help identify trends, compare segment profitability, and determine whether additional resources or strategic adjustments are necessary to achieve guideline goals. Additionally, the significant expense categories regularly reviewed by the CODM include cost of sales, sales, general and administrative expense, non-cash charges, such as impairment, and other income (expense) items. These other items consist of foreign currency gains and losses, interest income and expense, gains and losses from sales of fixed assets, and income and losses from equity method investments and business divestitures.</w:t>
      </w:r>
    </w:p>
    <w:p>
      <w:pPr>
        <w:spacing w:after="0" w:line="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The accounting policies of the reportable business segments are the same as those described in the summary of significant accounting policies in Note 1, </w:t>
      </w:r>
      <w:r>
        <w:rPr>
          <w:rFonts w:ascii="Times New Roman" w:cs="Times New Roman" w:eastAsia="Times New Roman" w:hAnsi="Times New Roman"/>
          <w:sz w:val="17"/>
          <w:szCs w:val="17"/>
          <w:i w:val="1"/>
          <w:iCs w:val="1"/>
          <w:color w:val="auto"/>
        </w:rPr>
        <w:t>Summary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of Significant Accounting Policies and Related Data </w:t>
      </w:r>
      <w:r>
        <w:rPr>
          <w:rFonts w:ascii="Times New Roman" w:cs="Times New Roman" w:eastAsia="Times New Roman" w:hAnsi="Times New Roman"/>
          <w:sz w:val="17"/>
          <w:szCs w:val="17"/>
          <w:color w:val="auto"/>
        </w:rPr>
        <w:t>of the company’s Annual Report on Form 10-K for the fiscal year ended October 31, 2025. The company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evaluates the performance of its Professional and Residential reportable business segment results based on EBIT which includes allocated expenses that these operations would have incurred otherwise, but does not include general corporate expenses, interest expense, and income taxes. EBIT for the company's Other activities includes earnings (loss) from a domestic wholly-owned distribution company, certain corporate activities, non-cash impairment charges, other income, and interest expense. The company accounts for intersegment gross sales at current market prices.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present summarized financial information concerning the company’s reportable business segments and Other activities (dollars in millions):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January 30, 2026</w:t>
            </w:r>
          </w:p>
        </w:tc>
        <w:tc>
          <w:tcPr>
            <w:tcW w:w="158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2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34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398"/>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98"/>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 from external customers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809.4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206.0</w:t>
            </w:r>
          </w:p>
        </w:tc>
        <w:tc>
          <w:tcPr>
            <w:tcW w:w="3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20.9</w:t>
            </w:r>
          </w:p>
        </w:tc>
        <w:tc>
          <w:tcPr>
            <w:tcW w:w="34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1,036.3</w:t>
            </w:r>
          </w:p>
        </w:tc>
      </w:tr>
      <w:tr>
        <w:trPr>
          <w:trHeight w:val="217"/>
        </w:trPr>
        <w:tc>
          <w:tcPr>
            <w:tcW w:w="4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Intersegment gross sales (eliminations)</w:t>
            </w:r>
          </w:p>
        </w:tc>
        <w:tc>
          <w:tcPr>
            <w:tcW w:w="15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14.6</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5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824.0</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206.0</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6.3</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1,036.3</w:t>
            </w:r>
          </w:p>
        </w:tc>
      </w:tr>
      <w:tr>
        <w:trPr>
          <w:trHeight w:val="217"/>
        </w:trPr>
        <w:tc>
          <w:tcPr>
            <w:tcW w:w="4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1580" w:type="dxa"/>
            <w:vAlign w:val="bottom"/>
          </w:tcPr>
          <w:p>
            <w:pPr>
              <w:spacing w:after="0"/>
              <w:rPr>
                <w:sz w:val="18"/>
                <w:szCs w:val="18"/>
                <w:color w:val="auto"/>
              </w:rPr>
            </w:pPr>
          </w:p>
        </w:tc>
        <w:tc>
          <w:tcPr>
            <w:tcW w:w="1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520.9</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165.4</w:t>
            </w:r>
          </w:p>
        </w:tc>
        <w:tc>
          <w:tcPr>
            <w:tcW w:w="340" w:type="dxa"/>
            <w:vAlign w:val="bottom"/>
          </w:tcPr>
          <w:p>
            <w:pPr>
              <w:spacing w:after="0"/>
              <w:rPr>
                <w:sz w:val="18"/>
                <w:szCs w:val="18"/>
                <w:color w:val="auto"/>
              </w:rPr>
            </w:pPr>
          </w:p>
        </w:tc>
        <w:tc>
          <w:tcPr>
            <w:tcW w:w="10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13.5</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699.8</w:t>
            </w:r>
          </w:p>
        </w:tc>
      </w:tr>
      <w:tr>
        <w:trPr>
          <w:trHeight w:val="22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1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166.0</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55.6</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249.4</w:t>
            </w:r>
          </w:p>
        </w:tc>
      </w:tr>
      <w:tr>
        <w:trPr>
          <w:trHeight w:val="217"/>
        </w:trPr>
        <w:tc>
          <w:tcPr>
            <w:tcW w:w="4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15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0.6</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13.1</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r>
      <w:tr>
        <w:trPr>
          <w:trHeight w:val="216"/>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(loss) before interest and taxes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137.6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3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34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w:t>
            </w:r>
          </w:p>
        </w:tc>
      </w:tr>
      <w:tr>
        <w:trPr>
          <w:trHeight w:val="217"/>
        </w:trPr>
        <w:tc>
          <w:tcPr>
            <w:tcW w:w="4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r>
      <w:tr>
        <w:trPr>
          <w:trHeight w:val="220"/>
        </w:trPr>
        <w:tc>
          <w:tcPr>
            <w:tcW w:w="4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5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r>
      <w:tr>
        <w:trPr>
          <w:trHeight w:val="213"/>
        </w:trPr>
        <w:tc>
          <w:tcPr>
            <w:tcW w:w="4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15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67.9</w:t>
            </w:r>
          </w:p>
        </w:tc>
      </w:tr>
      <w:tr>
        <w:trPr>
          <w:trHeight w:val="22"/>
        </w:trPr>
        <w:tc>
          <w:tcPr>
            <w:tcW w:w="4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09"/>
        </w:trPr>
        <w:tc>
          <w:tcPr>
            <w:tcW w:w="430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January 31, 2025</w:t>
            </w:r>
          </w:p>
        </w:tc>
        <w:tc>
          <w:tcPr>
            <w:tcW w:w="1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 from external customers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754.3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221.0</w:t>
            </w:r>
          </w:p>
        </w:tc>
        <w:tc>
          <w:tcPr>
            <w:tcW w:w="3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19.7</w:t>
            </w:r>
          </w:p>
        </w:tc>
        <w:tc>
          <w:tcPr>
            <w:tcW w:w="34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995.0</w:t>
            </w:r>
          </w:p>
        </w:tc>
      </w:tr>
      <w:tr>
        <w:trPr>
          <w:trHeight w:val="217"/>
        </w:trPr>
        <w:tc>
          <w:tcPr>
            <w:tcW w:w="4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Intersegment gross sales (eliminations)</w:t>
            </w:r>
          </w:p>
        </w:tc>
        <w:tc>
          <w:tcPr>
            <w:tcW w:w="15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14.5</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5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768.8</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221.0</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5.2</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995.0</w:t>
            </w:r>
          </w:p>
        </w:tc>
      </w:tr>
      <w:tr>
        <w:trPr>
          <w:trHeight w:val="217"/>
        </w:trPr>
        <w:tc>
          <w:tcPr>
            <w:tcW w:w="4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1580" w:type="dxa"/>
            <w:vAlign w:val="bottom"/>
          </w:tcPr>
          <w:p>
            <w:pPr>
              <w:spacing w:after="0"/>
              <w:rPr>
                <w:sz w:val="18"/>
                <w:szCs w:val="18"/>
                <w:color w:val="auto"/>
              </w:rPr>
            </w:pPr>
          </w:p>
        </w:tc>
        <w:tc>
          <w:tcPr>
            <w:tcW w:w="1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481.0</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171.1</w:t>
            </w:r>
          </w:p>
        </w:tc>
        <w:tc>
          <w:tcPr>
            <w:tcW w:w="340" w:type="dxa"/>
            <w:vAlign w:val="bottom"/>
          </w:tcPr>
          <w:p>
            <w:pPr>
              <w:spacing w:after="0"/>
              <w:rPr>
                <w:sz w:val="18"/>
                <w:szCs w:val="18"/>
                <w:color w:val="auto"/>
              </w:rPr>
            </w:pPr>
          </w:p>
        </w:tc>
        <w:tc>
          <w:tcPr>
            <w:tcW w:w="10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7.3</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659.4</w:t>
            </w:r>
          </w:p>
        </w:tc>
      </w:tr>
      <w:tr>
        <w:trPr>
          <w:trHeight w:val="22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1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161.2</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63.8</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257.8</w:t>
            </w:r>
          </w:p>
        </w:tc>
      </w:tr>
      <w:tr>
        <w:trPr>
          <w:trHeight w:val="217"/>
        </w:trPr>
        <w:tc>
          <w:tcPr>
            <w:tcW w:w="4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15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0.6</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2.6</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16"/>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(loss) before interest and taxes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127.2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3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34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w:t>
            </w:r>
          </w:p>
        </w:tc>
      </w:tr>
      <w:tr>
        <w:trPr>
          <w:trHeight w:val="217"/>
        </w:trPr>
        <w:tc>
          <w:tcPr>
            <w:tcW w:w="4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r>
      <w:tr>
        <w:trPr>
          <w:trHeight w:val="220"/>
        </w:trPr>
        <w:tc>
          <w:tcPr>
            <w:tcW w:w="4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5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213"/>
        </w:trPr>
        <w:tc>
          <w:tcPr>
            <w:tcW w:w="4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15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w:t>
            </w:r>
          </w:p>
        </w:tc>
      </w:tr>
      <w:tr>
        <w:trPr>
          <w:trHeight w:val="22"/>
        </w:trPr>
        <w:tc>
          <w:tcPr>
            <w:tcW w:w="4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January 30, 2026</w:t>
            </w:r>
          </w:p>
        </w:tc>
        <w:tc>
          <w:tcPr>
            <w:tcW w:w="16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2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Other</w:t>
            </w:r>
          </w:p>
        </w:tc>
        <w:tc>
          <w:tcPr>
            <w:tcW w:w="46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98"/>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2,814.4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502.1</w:t>
            </w:r>
          </w:p>
        </w:tc>
        <w:tc>
          <w:tcPr>
            <w:tcW w:w="940" w:type="dxa"/>
            <w:vAlign w:val="bottom"/>
            <w:shd w:val="clear" w:color="auto" w:fill="CCEEFF"/>
          </w:tcPr>
          <w:p>
            <w:pPr>
              <w:jc w:val="right"/>
              <w:ind w:right="678"/>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94"/>
              </w:rPr>
              <w:t>386.0</w:t>
            </w:r>
          </w:p>
        </w:tc>
        <w:tc>
          <w:tcPr>
            <w:tcW w:w="3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3,702.5</w:t>
            </w:r>
          </w:p>
        </w:tc>
      </w:tr>
      <w:tr>
        <w:trPr>
          <w:trHeight w:val="217"/>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25.2</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940" w:type="dxa"/>
            <w:vAlign w:val="bottom"/>
            <w:tcBorders>
              <w:bottom w:val="single" w:sz="8" w:color="auto"/>
            </w:tcBorders>
          </w:tcPr>
          <w:p>
            <w:pPr>
              <w:jc w:val="right"/>
              <w:ind w:right="678"/>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4.8</w:t>
            </w:r>
          </w:p>
        </w:tc>
        <w:tc>
          <w:tcPr>
            <w:tcW w:w="3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w:t>
            </w:r>
          </w:p>
        </w:tc>
      </w:tr>
      <w:tr>
        <w:trPr>
          <w:trHeight w:val="22"/>
        </w:trPr>
        <w:tc>
          <w:tcPr>
            <w:tcW w:w="4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3"/>
        </w:trPr>
        <w:tc>
          <w:tcPr>
            <w:tcW w:w="4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212"/>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January 31, 2025</w:t>
            </w:r>
          </w:p>
        </w:tc>
        <w:tc>
          <w:tcPr>
            <w:tcW w:w="16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Other</w:t>
            </w:r>
          </w:p>
        </w:tc>
        <w:tc>
          <w:tcPr>
            <w:tcW w:w="4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2,691.5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569.6</w:t>
            </w:r>
          </w:p>
        </w:tc>
        <w:tc>
          <w:tcPr>
            <w:tcW w:w="940" w:type="dxa"/>
            <w:vAlign w:val="bottom"/>
            <w:shd w:val="clear" w:color="auto" w:fill="CCEEFF"/>
          </w:tcPr>
          <w:p>
            <w:pPr>
              <w:jc w:val="right"/>
              <w:ind w:right="678"/>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94"/>
              </w:rPr>
              <w:t>435.6</w:t>
            </w:r>
          </w:p>
        </w:tc>
        <w:tc>
          <w:tcPr>
            <w:tcW w:w="3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3,696.7</w:t>
            </w:r>
          </w:p>
        </w:tc>
      </w:tr>
      <w:tr>
        <w:trPr>
          <w:trHeight w:val="217"/>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22.9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940" w:type="dxa"/>
            <w:vAlign w:val="bottom"/>
            <w:tcBorders>
              <w:bottom w:val="single" w:sz="8" w:color="auto"/>
            </w:tcBorders>
          </w:tcPr>
          <w:p>
            <w:pPr>
              <w:jc w:val="right"/>
              <w:ind w:right="678"/>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4.5</w:t>
            </w:r>
          </w:p>
        </w:tc>
        <w:tc>
          <w:tcPr>
            <w:tcW w:w="3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w:t>
            </w:r>
          </w:p>
        </w:tc>
      </w:tr>
      <w:tr>
        <w:trPr>
          <w:trHeight w:val="22"/>
        </w:trPr>
        <w:tc>
          <w:tcPr>
            <w:tcW w:w="4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left="600" w:hanging="579"/>
        <w:spacing w:after="0"/>
        <w:tabs>
          <w:tab w:leader="none" w:pos="600" w:val="left"/>
        </w:tabs>
        <w:numPr>
          <w:ilvl w:val="0"/>
          <w:numId w:val="10"/>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Revenue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disaggregate the company's reportable segment net sales by major product type and geographic market (dollars in millions):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January 30, 2026</w:t>
            </w:r>
          </w:p>
        </w:tc>
        <w:tc>
          <w:tcPr>
            <w:tcW w:w="16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2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8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98"/>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product type:</w:t>
            </w:r>
          </w:p>
        </w:tc>
        <w:tc>
          <w:tcPr>
            <w:tcW w:w="16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7"/>
        </w:trPr>
        <w:tc>
          <w:tcPr>
            <w:tcW w:w="4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Equipment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723.8</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205.4</w:t>
            </w:r>
          </w:p>
        </w:tc>
        <w:tc>
          <w:tcPr>
            <w:tcW w:w="1020" w:type="dxa"/>
            <w:vAlign w:val="bottom"/>
          </w:tcPr>
          <w:p>
            <w:pPr>
              <w:jc w:val="right"/>
              <w:ind w:right="758"/>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5.2</w:t>
            </w:r>
          </w:p>
        </w:tc>
        <w:tc>
          <w:tcPr>
            <w:tcW w:w="3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934.4</w:t>
            </w:r>
          </w:p>
        </w:tc>
      </w:tr>
      <w:tr>
        <w:trPr>
          <w:trHeight w:val="220"/>
        </w:trPr>
        <w:tc>
          <w:tcPr>
            <w:tcW w:w="42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Irrigation</w:t>
            </w:r>
          </w:p>
        </w:tc>
        <w:tc>
          <w:tcPr>
            <w:tcW w:w="16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100.2</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1.1</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w:t>
            </w:r>
          </w:p>
        </w:tc>
      </w:tr>
      <w:tr>
        <w:trPr>
          <w:trHeight w:val="213"/>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824.0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206.0</w:t>
            </w:r>
          </w:p>
        </w:tc>
        <w:tc>
          <w:tcPr>
            <w:tcW w:w="1020" w:type="dxa"/>
            <w:vAlign w:val="bottom"/>
            <w:tcBorders>
              <w:bottom w:val="single" w:sz="8" w:color="auto"/>
            </w:tcBorders>
          </w:tcPr>
          <w:p>
            <w:pPr>
              <w:jc w:val="right"/>
              <w:ind w:right="758"/>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6.3</w:t>
            </w:r>
          </w:p>
        </w:tc>
        <w:tc>
          <w:tcPr>
            <w:tcW w:w="3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1,036.3</w:t>
            </w:r>
          </w:p>
        </w:tc>
      </w:tr>
      <w:tr>
        <w:trPr>
          <w:trHeight w:val="22"/>
        </w:trPr>
        <w:tc>
          <w:tcPr>
            <w:tcW w:w="4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8"/>
        </w:trPr>
        <w:tc>
          <w:tcPr>
            <w:tcW w:w="42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22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geographic market:</w:t>
            </w:r>
          </w:p>
        </w:tc>
        <w:tc>
          <w:tcPr>
            <w:tcW w:w="16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7"/>
        </w:trPr>
        <w:tc>
          <w:tcPr>
            <w:tcW w:w="4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United States</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664.4</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178.1</w:t>
            </w:r>
          </w:p>
        </w:tc>
        <w:tc>
          <w:tcPr>
            <w:tcW w:w="1020" w:type="dxa"/>
            <w:vAlign w:val="bottom"/>
          </w:tcPr>
          <w:p>
            <w:pPr>
              <w:jc w:val="right"/>
              <w:ind w:right="758"/>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6.3</w:t>
            </w:r>
          </w:p>
        </w:tc>
        <w:tc>
          <w:tcPr>
            <w:tcW w:w="3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848.8</w:t>
            </w:r>
          </w:p>
        </w:tc>
      </w:tr>
      <w:tr>
        <w:trPr>
          <w:trHeight w:val="220"/>
        </w:trPr>
        <w:tc>
          <w:tcPr>
            <w:tcW w:w="42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International countries</w:t>
            </w:r>
          </w:p>
        </w:tc>
        <w:tc>
          <w:tcPr>
            <w:tcW w:w="16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159.6</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0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187.5</w:t>
            </w:r>
          </w:p>
        </w:tc>
      </w:tr>
      <w:tr>
        <w:trPr>
          <w:trHeight w:val="213"/>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824.0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206.0</w:t>
            </w:r>
          </w:p>
        </w:tc>
        <w:tc>
          <w:tcPr>
            <w:tcW w:w="1020" w:type="dxa"/>
            <w:vAlign w:val="bottom"/>
            <w:tcBorders>
              <w:bottom w:val="single" w:sz="8" w:color="auto"/>
            </w:tcBorders>
          </w:tcPr>
          <w:p>
            <w:pPr>
              <w:jc w:val="right"/>
              <w:ind w:right="758"/>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6.3</w:t>
            </w:r>
          </w:p>
        </w:tc>
        <w:tc>
          <w:tcPr>
            <w:tcW w:w="3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1,036.3</w:t>
            </w:r>
          </w:p>
        </w:tc>
      </w:tr>
      <w:tr>
        <w:trPr>
          <w:trHeight w:val="22"/>
        </w:trPr>
        <w:tc>
          <w:tcPr>
            <w:tcW w:w="4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January 31, 2025</w:t>
            </w:r>
          </w:p>
        </w:tc>
        <w:tc>
          <w:tcPr>
            <w:tcW w:w="16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2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8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98"/>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product type:</w:t>
            </w:r>
          </w:p>
        </w:tc>
        <w:tc>
          <w:tcPr>
            <w:tcW w:w="16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7"/>
        </w:trPr>
        <w:tc>
          <w:tcPr>
            <w:tcW w:w="4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Equipment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661.9</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220.1</w:t>
            </w:r>
          </w:p>
        </w:tc>
        <w:tc>
          <w:tcPr>
            <w:tcW w:w="1020" w:type="dxa"/>
            <w:vAlign w:val="bottom"/>
          </w:tcPr>
          <w:p>
            <w:pPr>
              <w:jc w:val="right"/>
              <w:ind w:right="758"/>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4.2</w:t>
            </w:r>
          </w:p>
        </w:tc>
        <w:tc>
          <w:tcPr>
            <w:tcW w:w="3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886.2</w:t>
            </w:r>
          </w:p>
        </w:tc>
      </w:tr>
      <w:tr>
        <w:trPr>
          <w:trHeight w:val="220"/>
        </w:trPr>
        <w:tc>
          <w:tcPr>
            <w:tcW w:w="42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Irrigation</w:t>
            </w:r>
          </w:p>
        </w:tc>
        <w:tc>
          <w:tcPr>
            <w:tcW w:w="16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106.9</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w:t>
            </w:r>
          </w:p>
        </w:tc>
      </w:tr>
      <w:tr>
        <w:trPr>
          <w:trHeight w:val="213"/>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768.8</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221.0</w:t>
            </w:r>
          </w:p>
        </w:tc>
        <w:tc>
          <w:tcPr>
            <w:tcW w:w="1020" w:type="dxa"/>
            <w:vAlign w:val="bottom"/>
            <w:tcBorders>
              <w:bottom w:val="single" w:sz="8" w:color="auto"/>
            </w:tcBorders>
          </w:tcPr>
          <w:p>
            <w:pPr>
              <w:jc w:val="right"/>
              <w:ind w:right="758"/>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5.2</w:t>
            </w:r>
          </w:p>
        </w:tc>
        <w:tc>
          <w:tcPr>
            <w:tcW w:w="3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995.0</w:t>
            </w:r>
          </w:p>
        </w:tc>
      </w:tr>
      <w:tr>
        <w:trPr>
          <w:trHeight w:val="22"/>
        </w:trPr>
        <w:tc>
          <w:tcPr>
            <w:tcW w:w="4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8"/>
        </w:trPr>
        <w:tc>
          <w:tcPr>
            <w:tcW w:w="42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22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geographic market:</w:t>
            </w:r>
          </w:p>
        </w:tc>
        <w:tc>
          <w:tcPr>
            <w:tcW w:w="16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7"/>
        </w:trPr>
        <w:tc>
          <w:tcPr>
            <w:tcW w:w="4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United States</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585.0</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193.4</w:t>
            </w:r>
          </w:p>
        </w:tc>
        <w:tc>
          <w:tcPr>
            <w:tcW w:w="1020" w:type="dxa"/>
            <w:vAlign w:val="bottom"/>
          </w:tcPr>
          <w:p>
            <w:pPr>
              <w:jc w:val="right"/>
              <w:ind w:right="758"/>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5.2</w:t>
            </w:r>
          </w:p>
        </w:tc>
        <w:tc>
          <w:tcPr>
            <w:tcW w:w="3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783.6</w:t>
            </w:r>
          </w:p>
        </w:tc>
      </w:tr>
      <w:tr>
        <w:trPr>
          <w:trHeight w:val="220"/>
        </w:trPr>
        <w:tc>
          <w:tcPr>
            <w:tcW w:w="42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International countries</w:t>
            </w:r>
          </w:p>
        </w:tc>
        <w:tc>
          <w:tcPr>
            <w:tcW w:w="16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183.8</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0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211.4</w:t>
            </w:r>
          </w:p>
        </w:tc>
      </w:tr>
      <w:tr>
        <w:trPr>
          <w:trHeight w:val="213"/>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768.8</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221.0</w:t>
            </w:r>
          </w:p>
        </w:tc>
        <w:tc>
          <w:tcPr>
            <w:tcW w:w="1020" w:type="dxa"/>
            <w:vAlign w:val="bottom"/>
            <w:tcBorders>
              <w:bottom w:val="single" w:sz="8" w:color="auto"/>
            </w:tcBorders>
          </w:tcPr>
          <w:p>
            <w:pPr>
              <w:jc w:val="right"/>
              <w:ind w:right="758"/>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5.2</w:t>
            </w:r>
          </w:p>
        </w:tc>
        <w:tc>
          <w:tcPr>
            <w:tcW w:w="3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995.0</w:t>
            </w:r>
          </w:p>
        </w:tc>
      </w:tr>
      <w:tr>
        <w:trPr>
          <w:trHeight w:val="22"/>
        </w:trPr>
        <w:tc>
          <w:tcPr>
            <w:tcW w:w="4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Contract Liabilities</w:t>
      </w:r>
    </w:p>
    <w:p>
      <w:pPr>
        <w:spacing w:after="0" w:line="1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Contract liabilities relate to deferred revenue recognized for cash consideration received at contract inception in advance of the company's performance under the respective contract and generally relate to the sale of separately priced extended warranty contracts, service contracts, and non-refundable customer deposits. The company recognizes revenue over the term of the contract in proportion to the costs expected to be incurred in satisfying the performance obligations under the separately priced extended warranty and service contracts. For non-refundable customer deposits, the company recognizes revenue as of the point in time in which the performance obligation has been satisfied under the contract with the customer, which typically occurs upon change in control at the time a product is shipped. As of January 30, 2026 and October 31, 2025, $35.5 million and $34.0 million, respectively, of deferred revenue associated with outstanding separately priced extended warranty contracts, service contracts, and non-refundable customer deposits was reported within accrued liabilities and other long-term liabilities in the Condensed Consolidated Balance Sheets. For the three months ended January 30, 2026, the company recognized $3.4 million of the October 31, 2025 deferred revenue balance within net sales in the Condensed Consolidated Statements of Earnings. The company expects to recognize approximately $9.6 million of the October 31, 2025 deferred revenue amount within net sales throughout the remainder of fiscal 2026, $10.6 million in fiscal 2027, and $10.4 million thereafter.</w:t>
      </w:r>
    </w:p>
    <w:p>
      <w:pPr>
        <w:spacing w:after="0" w:line="105" w:lineRule="exact"/>
        <w:rPr>
          <w:sz w:val="20"/>
          <w:szCs w:val="20"/>
          <w:color w:val="auto"/>
        </w:rPr>
      </w:pPr>
    </w:p>
    <w:p>
      <w:pPr>
        <w:ind w:left="600" w:hanging="579"/>
        <w:spacing w:after="0"/>
        <w:tabs>
          <w:tab w:leader="none" w:pos="600" w:val="left"/>
        </w:tabs>
        <w:numPr>
          <w:ilvl w:val="0"/>
          <w:numId w:val="11"/>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Goodwill and Other Intangible Assets, Net</w:t>
      </w:r>
    </w:p>
    <w:p>
      <w:pPr>
        <w:spacing w:after="0" w:line="17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 xml:space="preserve">The company's acquisition of Tornado Infrastructure Equipment on December 8, 2025 resulted in the recognition of $137.6 million and $63.8 million of preliminary goodwill and other intangible assets, respectively. For additional information on the company's acquisition of Tornado Infrastructure Equipment, refer to Note 2, </w:t>
      </w:r>
      <w:r>
        <w:rPr>
          <w:rFonts w:ascii="Times New Roman" w:cs="Times New Roman" w:eastAsia="Times New Roman" w:hAnsi="Times New Roman"/>
          <w:sz w:val="17"/>
          <w:szCs w:val="17"/>
          <w:i w:val="1"/>
          <w:iCs w:val="1"/>
          <w:color w:val="auto"/>
        </w:rPr>
        <w:t>Acquisitions and Divestitures</w:t>
      </w:r>
      <w:r>
        <w:rPr>
          <w:rFonts w:ascii="Times New Roman" w:cs="Times New Roman" w:eastAsia="Times New Roman" w:hAnsi="Times New Roman"/>
          <w:sz w:val="17"/>
          <w:szCs w:val="17"/>
          <w:color w:val="auto"/>
        </w:rPr>
        <w: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changes in the carrying amount of goodwill by reportable segment for the first three months of fiscal 2026 were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9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98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26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104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4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78"/>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October 31, 2025</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10.0</w:t>
            </w:r>
          </w:p>
        </w:tc>
        <w:tc>
          <w:tcPr>
            <w:tcW w:w="1040" w:type="dxa"/>
            <w:vAlign w:val="bottom"/>
            <w:shd w:val="clear" w:color="auto" w:fill="CCEEFF"/>
          </w:tcPr>
          <w:p>
            <w:pPr>
              <w:jc w:val="right"/>
              <w:ind w:right="79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450.9</w:t>
            </w:r>
          </w:p>
        </w:tc>
      </w:tr>
      <w:tr>
        <w:trPr>
          <w:trHeight w:val="217"/>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 acquired</w:t>
            </w:r>
          </w:p>
        </w:tc>
        <w:tc>
          <w:tcPr>
            <w:tcW w:w="19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137.6</w:t>
            </w:r>
          </w:p>
        </w:tc>
        <w:tc>
          <w:tcPr>
            <w:tcW w:w="260" w:type="dxa"/>
            <w:vAlign w:val="bottom"/>
          </w:tcPr>
          <w:p>
            <w:pPr>
              <w:spacing w:after="0"/>
              <w:rPr>
                <w:sz w:val="18"/>
                <w:szCs w:val="18"/>
                <w:color w:val="auto"/>
              </w:rPr>
            </w:pPr>
          </w:p>
        </w:tc>
        <w:tc>
          <w:tcPr>
            <w:tcW w:w="11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137.6</w:t>
            </w:r>
          </w:p>
        </w:tc>
      </w:tr>
      <w:tr>
        <w:trPr>
          <w:trHeight w:val="220"/>
        </w:trPr>
        <w:tc>
          <w:tcPr>
            <w:tcW w:w="3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Translation adjustments</w:t>
            </w:r>
          </w:p>
        </w:tc>
        <w:tc>
          <w:tcPr>
            <w:tcW w:w="19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13"/>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Balance as of January 30, 2026</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582.1</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10.0</w:t>
            </w:r>
          </w:p>
        </w:tc>
        <w:tc>
          <w:tcPr>
            <w:tcW w:w="1040" w:type="dxa"/>
            <w:vAlign w:val="bottom"/>
            <w:tcBorders>
              <w:bottom w:val="single" w:sz="8" w:color="auto"/>
            </w:tcBorders>
          </w:tcPr>
          <w:p>
            <w:pPr>
              <w:jc w:val="right"/>
              <w:ind w:right="79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592.1</w:t>
            </w:r>
          </w:p>
        </w:tc>
      </w:tr>
      <w:tr>
        <w:trPr>
          <w:trHeight w:val="22"/>
        </w:trPr>
        <w:tc>
          <w:tcPr>
            <w:tcW w:w="39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Intangible Assets,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of other intangible assets, net as of January 30, 2026, January 31, 2025, and October 31, 2025 were as follows (dollars 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68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January 30, 2026</w:t>
            </w:r>
          </w:p>
        </w:tc>
        <w:tc>
          <w:tcPr>
            <w:tcW w:w="3000" w:type="dxa"/>
            <w:vAlign w:val="bottom"/>
            <w:tcBorders>
              <w:top w:val="single" w:sz="8" w:color="auto"/>
            </w:tcBorders>
          </w:tcPr>
          <w:p>
            <w:pPr>
              <w:jc w:val="right"/>
              <w:ind w:right="38"/>
              <w:spacing w:after="0" w:line="168" w:lineRule="exact"/>
              <w:rPr>
                <w:sz w:val="20"/>
                <w:szCs w:val="20"/>
                <w:color w:val="auto"/>
              </w:rPr>
            </w:pPr>
            <w:r>
              <w:rPr>
                <w:rFonts w:ascii="Times New Roman" w:cs="Times New Roman" w:eastAsia="Times New Roman" w:hAnsi="Times New Roman"/>
                <w:sz w:val="16"/>
                <w:szCs w:val="16"/>
                <w:b w:val="1"/>
                <w:bCs w:val="1"/>
                <w:color w:val="auto"/>
              </w:rPr>
              <w:t>Weighted-Average</w:t>
            </w:r>
          </w:p>
        </w:tc>
        <w:tc>
          <w:tcPr>
            <w:tcW w:w="2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118"/>
              <w:spacing w:after="0" w:line="16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2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218"/>
              <w:spacing w:after="0" w:line="16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4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ind w:right="498"/>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9"/>
        </w:trPr>
        <w:tc>
          <w:tcPr>
            <w:tcW w:w="3680" w:type="dxa"/>
            <w:vAlign w:val="bottom"/>
            <w:tcBorders>
              <w:bottom w:val="single" w:sz="8" w:color="auto"/>
            </w:tcBorders>
            <w:vMerge w:val="continue"/>
          </w:tcPr>
          <w:p>
            <w:pPr>
              <w:spacing w:after="0"/>
              <w:rPr>
                <w:sz w:val="19"/>
                <w:szCs w:val="19"/>
                <w:color w:val="auto"/>
              </w:rPr>
            </w:pPr>
          </w:p>
        </w:tc>
        <w:tc>
          <w:tcPr>
            <w:tcW w:w="3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Useful Life in Years</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Patents</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40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17"/>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Customer-related</w:t>
            </w:r>
          </w:p>
        </w:tc>
        <w:tc>
          <w:tcPr>
            <w:tcW w:w="3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200" w:type="dxa"/>
            <w:vAlign w:val="bottom"/>
          </w:tcPr>
          <w:p>
            <w:pPr>
              <w:spacing w:after="0"/>
              <w:rPr>
                <w:sz w:val="18"/>
                <w:szCs w:val="18"/>
                <w:color w:val="auto"/>
              </w:rPr>
            </w:pPr>
          </w:p>
        </w:tc>
        <w:tc>
          <w:tcPr>
            <w:tcW w:w="13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350.4</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(153.0)</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197.4</w:t>
            </w:r>
          </w:p>
        </w:tc>
        <w:tc>
          <w:tcPr>
            <w:tcW w:w="0" w:type="dxa"/>
            <w:vAlign w:val="bottom"/>
          </w:tcPr>
          <w:p>
            <w:pPr>
              <w:spacing w:after="0"/>
              <w:rPr>
                <w:sz w:val="1"/>
                <w:szCs w:val="1"/>
                <w:color w:val="auto"/>
              </w:rPr>
            </w:pPr>
          </w:p>
        </w:tc>
      </w:tr>
      <w:tr>
        <w:trPr>
          <w:trHeight w:val="22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117.2</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0" w:type="dxa"/>
            <w:vAlign w:val="bottom"/>
          </w:tcPr>
          <w:p>
            <w:pPr>
              <w:spacing w:after="0"/>
              <w:rPr>
                <w:sz w:val="1"/>
                <w:szCs w:val="1"/>
                <w:color w:val="auto"/>
              </w:rPr>
            </w:pPr>
          </w:p>
        </w:tc>
      </w:tr>
      <w:tr>
        <w:trPr>
          <w:trHeight w:val="217"/>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 names</w:t>
            </w:r>
          </w:p>
        </w:tc>
        <w:tc>
          <w:tcPr>
            <w:tcW w:w="3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200" w:type="dxa"/>
            <w:vAlign w:val="bottom"/>
          </w:tcPr>
          <w:p>
            <w:pPr>
              <w:spacing w:after="0"/>
              <w:rPr>
                <w:sz w:val="18"/>
                <w:szCs w:val="18"/>
                <w:color w:val="auto"/>
              </w:rPr>
            </w:pPr>
          </w:p>
        </w:tc>
        <w:tc>
          <w:tcPr>
            <w:tcW w:w="13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9.6</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20"/>
        </w:trPr>
        <w:tc>
          <w:tcPr>
            <w:tcW w:w="3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Backlog and other</w:t>
            </w:r>
          </w:p>
        </w:tc>
        <w:tc>
          <w:tcPr>
            <w:tcW w:w="3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5.0</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13"/>
        </w:trPr>
        <w:tc>
          <w:tcPr>
            <w:tcW w:w="3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finite-lived</w:t>
            </w:r>
          </w:p>
        </w:tc>
        <w:tc>
          <w:tcPr>
            <w:tcW w:w="3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200" w:type="dxa"/>
            <w:vAlign w:val="bottom"/>
          </w:tcPr>
          <w:p>
            <w:pPr>
              <w:spacing w:after="0"/>
              <w:rPr>
                <w:sz w:val="18"/>
                <w:szCs w:val="18"/>
                <w:color w:val="auto"/>
              </w:rPr>
            </w:pPr>
          </w:p>
        </w:tc>
        <w:tc>
          <w:tcPr>
            <w:tcW w:w="13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492.3</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(257.3)</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235.0</w:t>
            </w:r>
          </w:p>
        </w:tc>
        <w:tc>
          <w:tcPr>
            <w:tcW w:w="0" w:type="dxa"/>
            <w:vAlign w:val="bottom"/>
          </w:tcPr>
          <w:p>
            <w:pPr>
              <w:spacing w:after="0"/>
              <w:rPr>
                <w:sz w:val="1"/>
                <w:szCs w:val="1"/>
                <w:color w:val="auto"/>
              </w:rPr>
            </w:pPr>
          </w:p>
        </w:tc>
      </w:tr>
      <w:tr>
        <w:trPr>
          <w:trHeight w:val="220"/>
        </w:trPr>
        <w:tc>
          <w:tcPr>
            <w:tcW w:w="3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Indefinite-lived - trade names</w:t>
            </w:r>
          </w:p>
        </w:tc>
        <w:tc>
          <w:tcPr>
            <w:tcW w:w="30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210.7</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210.7</w:t>
            </w:r>
          </w:p>
        </w:tc>
        <w:tc>
          <w:tcPr>
            <w:tcW w:w="0" w:type="dxa"/>
            <w:vAlign w:val="bottom"/>
          </w:tcPr>
          <w:p>
            <w:pPr>
              <w:spacing w:after="0"/>
              <w:rPr>
                <w:sz w:val="1"/>
                <w:szCs w:val="1"/>
                <w:color w:val="auto"/>
              </w:rPr>
            </w:pPr>
          </w:p>
        </w:tc>
      </w:tr>
      <w:tr>
        <w:trPr>
          <w:trHeight w:val="213"/>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other intangible assets, net</w:t>
            </w:r>
          </w:p>
        </w:tc>
        <w:tc>
          <w:tcPr>
            <w:tcW w:w="30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703.0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(257.3)</w:t>
            </w:r>
          </w:p>
        </w:tc>
        <w:tc>
          <w:tcPr>
            <w:tcW w:w="40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445.7</w:t>
            </w:r>
          </w:p>
        </w:tc>
        <w:tc>
          <w:tcPr>
            <w:tcW w:w="0" w:type="dxa"/>
            <w:vAlign w:val="bottom"/>
          </w:tcPr>
          <w:p>
            <w:pPr>
              <w:spacing w:after="0"/>
              <w:rPr>
                <w:sz w:val="1"/>
                <w:szCs w:val="1"/>
                <w:color w:val="auto"/>
              </w:rPr>
            </w:pPr>
          </w:p>
        </w:tc>
      </w:tr>
      <w:tr>
        <w:trPr>
          <w:trHeight w:val="22"/>
        </w:trPr>
        <w:tc>
          <w:tcPr>
            <w:tcW w:w="368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7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January 31, 2025</w:t>
            </w:r>
          </w:p>
        </w:tc>
        <w:tc>
          <w:tcPr>
            <w:tcW w:w="3020" w:type="dxa"/>
            <w:vAlign w:val="bottom"/>
            <w:tcBorders>
              <w:top w:val="single" w:sz="8" w:color="auto"/>
            </w:tcBorders>
          </w:tcPr>
          <w:p>
            <w:pPr>
              <w:jc w:val="right"/>
              <w:ind w:right="38"/>
              <w:spacing w:after="0" w:line="168" w:lineRule="exact"/>
              <w:rPr>
                <w:sz w:val="20"/>
                <w:szCs w:val="20"/>
                <w:color w:val="auto"/>
              </w:rPr>
            </w:pPr>
            <w:r>
              <w:rPr>
                <w:rFonts w:ascii="Times New Roman" w:cs="Times New Roman" w:eastAsia="Times New Roman" w:hAnsi="Times New Roman"/>
                <w:sz w:val="16"/>
                <w:szCs w:val="16"/>
                <w:b w:val="1"/>
                <w:bCs w:val="1"/>
                <w:color w:val="auto"/>
              </w:rPr>
              <w:t>Weighted-Average</w:t>
            </w:r>
          </w:p>
        </w:tc>
        <w:tc>
          <w:tcPr>
            <w:tcW w:w="1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98"/>
              <w:spacing w:after="0" w:line="16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2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218"/>
              <w:spacing w:after="0" w:line="16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3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ind w:right="498"/>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9"/>
        </w:trPr>
        <w:tc>
          <w:tcPr>
            <w:tcW w:w="3700" w:type="dxa"/>
            <w:vAlign w:val="bottom"/>
            <w:tcBorders>
              <w:bottom w:val="single" w:sz="8" w:color="auto"/>
            </w:tcBorders>
            <w:vMerge w:val="continue"/>
          </w:tcPr>
          <w:p>
            <w:pPr>
              <w:spacing w:after="0"/>
              <w:rPr>
                <w:sz w:val="19"/>
                <w:szCs w:val="19"/>
                <w:color w:val="auto"/>
              </w:rPr>
            </w:pPr>
          </w:p>
        </w:tc>
        <w:tc>
          <w:tcPr>
            <w:tcW w:w="3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Useful Life in Years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Patents</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38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7"/>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Customer-related</w:t>
            </w:r>
          </w:p>
        </w:tc>
        <w:tc>
          <w:tcPr>
            <w:tcW w:w="3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319.8</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(133.2)</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186.6</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0" w:type="dxa"/>
            <w:vAlign w:val="bottom"/>
          </w:tcPr>
          <w:p>
            <w:pPr>
              <w:spacing w:after="0"/>
              <w:rPr>
                <w:sz w:val="1"/>
                <w:szCs w:val="1"/>
                <w:color w:val="auto"/>
              </w:rPr>
            </w:pPr>
          </w:p>
        </w:tc>
      </w:tr>
      <w:tr>
        <w:trPr>
          <w:trHeight w:val="217"/>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Trade names</w:t>
            </w:r>
          </w:p>
        </w:tc>
        <w:tc>
          <w:tcPr>
            <w:tcW w:w="3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finite-lived</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451.5</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(232.4)</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219.1</w:t>
            </w:r>
          </w:p>
        </w:tc>
        <w:tc>
          <w:tcPr>
            <w:tcW w:w="0" w:type="dxa"/>
            <w:vAlign w:val="bottom"/>
          </w:tcPr>
          <w:p>
            <w:pPr>
              <w:spacing w:after="0"/>
              <w:rPr>
                <w:sz w:val="1"/>
                <w:szCs w:val="1"/>
                <w:color w:val="auto"/>
              </w:rPr>
            </w:pPr>
          </w:p>
        </w:tc>
      </w:tr>
      <w:tr>
        <w:trPr>
          <w:trHeight w:val="217"/>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Indefinite-lived - trade names</w:t>
            </w:r>
          </w:p>
        </w:tc>
        <w:tc>
          <w:tcPr>
            <w:tcW w:w="30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271.5</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271.5</w:t>
            </w:r>
          </w:p>
        </w:tc>
        <w:tc>
          <w:tcPr>
            <w:tcW w:w="0" w:type="dxa"/>
            <w:vAlign w:val="bottom"/>
          </w:tcPr>
          <w:p>
            <w:pPr>
              <w:spacing w:after="0"/>
              <w:rPr>
                <w:sz w:val="1"/>
                <w:szCs w:val="1"/>
                <w:color w:val="auto"/>
              </w:rPr>
            </w:pPr>
          </w:p>
        </w:tc>
      </w:tr>
      <w:tr>
        <w:trPr>
          <w:trHeight w:val="238"/>
        </w:trPr>
        <w:tc>
          <w:tcPr>
            <w:tcW w:w="3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intangible assets, net</w:t>
            </w:r>
          </w:p>
        </w:tc>
        <w:tc>
          <w:tcPr>
            <w:tcW w:w="30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(232.4)</w:t>
            </w:r>
          </w:p>
        </w:tc>
        <w:tc>
          <w:tcPr>
            <w:tcW w:w="38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490.6</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bottom w:val="single" w:sz="8" w:color="auto"/>
            </w:tcBorders>
          </w:tcPr>
          <w:p>
            <w:pPr>
              <w:spacing w:after="0" w:line="20" w:lineRule="exact"/>
              <w:rPr>
                <w:sz w:val="1"/>
                <w:szCs w:val="1"/>
                <w:color w:val="auto"/>
              </w:rPr>
            </w:pPr>
          </w:p>
        </w:tc>
        <w:tc>
          <w:tcPr>
            <w:tcW w:w="3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7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October 31, 2025</w:t>
            </w:r>
          </w:p>
        </w:tc>
        <w:tc>
          <w:tcPr>
            <w:tcW w:w="3020" w:type="dxa"/>
            <w:vAlign w:val="bottom"/>
            <w:tcBorders>
              <w:top w:val="single" w:sz="8" w:color="auto"/>
            </w:tcBorders>
          </w:tcPr>
          <w:p>
            <w:pPr>
              <w:jc w:val="right"/>
              <w:ind w:right="38"/>
              <w:spacing w:after="0" w:line="168" w:lineRule="exact"/>
              <w:rPr>
                <w:sz w:val="20"/>
                <w:szCs w:val="20"/>
                <w:color w:val="auto"/>
              </w:rPr>
            </w:pPr>
            <w:r>
              <w:rPr>
                <w:rFonts w:ascii="Times New Roman" w:cs="Times New Roman" w:eastAsia="Times New Roman" w:hAnsi="Times New Roman"/>
                <w:sz w:val="16"/>
                <w:szCs w:val="16"/>
                <w:b w:val="1"/>
                <w:bCs w:val="1"/>
                <w:color w:val="auto"/>
              </w:rPr>
              <w:t>Weighted-Average</w:t>
            </w:r>
          </w:p>
        </w:tc>
        <w:tc>
          <w:tcPr>
            <w:tcW w:w="1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98"/>
              <w:spacing w:after="0" w:line="16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2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218"/>
              <w:spacing w:after="0" w:line="16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3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ind w:right="498"/>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9"/>
        </w:trPr>
        <w:tc>
          <w:tcPr>
            <w:tcW w:w="3700" w:type="dxa"/>
            <w:vAlign w:val="bottom"/>
            <w:tcBorders>
              <w:bottom w:val="single" w:sz="8" w:color="auto"/>
            </w:tcBorders>
            <w:vMerge w:val="continue"/>
          </w:tcPr>
          <w:p>
            <w:pPr>
              <w:spacing w:after="0"/>
              <w:rPr>
                <w:sz w:val="19"/>
                <w:szCs w:val="19"/>
                <w:color w:val="auto"/>
              </w:rPr>
            </w:pPr>
          </w:p>
        </w:tc>
        <w:tc>
          <w:tcPr>
            <w:tcW w:w="3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Useful Life in Years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Patents</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38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17"/>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Customer-related</w:t>
            </w:r>
          </w:p>
        </w:tc>
        <w:tc>
          <w:tcPr>
            <w:tcW w:w="3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320.0</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(147.6)</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172.4</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0" w:type="dxa"/>
            <w:vAlign w:val="bottom"/>
          </w:tcPr>
          <w:p>
            <w:pPr>
              <w:spacing w:after="0"/>
              <w:rPr>
                <w:sz w:val="1"/>
                <w:szCs w:val="1"/>
                <w:color w:val="auto"/>
              </w:rPr>
            </w:pPr>
          </w:p>
        </w:tc>
      </w:tr>
      <w:tr>
        <w:trPr>
          <w:trHeight w:val="217"/>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Trade names</w:t>
            </w:r>
          </w:p>
        </w:tc>
        <w:tc>
          <w:tcPr>
            <w:tcW w:w="3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finite-lived</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446.8</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(247.1)</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199.7</w:t>
            </w:r>
          </w:p>
        </w:tc>
        <w:tc>
          <w:tcPr>
            <w:tcW w:w="0" w:type="dxa"/>
            <w:vAlign w:val="bottom"/>
          </w:tcPr>
          <w:p>
            <w:pPr>
              <w:spacing w:after="0"/>
              <w:rPr>
                <w:sz w:val="1"/>
                <w:szCs w:val="1"/>
                <w:color w:val="auto"/>
              </w:rPr>
            </w:pPr>
          </w:p>
        </w:tc>
      </w:tr>
      <w:tr>
        <w:trPr>
          <w:trHeight w:val="217"/>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Indefinite-lived - trade names</w:t>
            </w:r>
          </w:p>
        </w:tc>
        <w:tc>
          <w:tcPr>
            <w:tcW w:w="30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190.6</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190.6</w:t>
            </w:r>
          </w:p>
        </w:tc>
        <w:tc>
          <w:tcPr>
            <w:tcW w:w="0" w:type="dxa"/>
            <w:vAlign w:val="bottom"/>
          </w:tcPr>
          <w:p>
            <w:pPr>
              <w:spacing w:after="0"/>
              <w:rPr>
                <w:sz w:val="1"/>
                <w:szCs w:val="1"/>
                <w:color w:val="auto"/>
              </w:rPr>
            </w:pPr>
          </w:p>
        </w:tc>
      </w:tr>
      <w:tr>
        <w:trPr>
          <w:trHeight w:val="238"/>
        </w:trPr>
        <w:tc>
          <w:tcPr>
            <w:tcW w:w="3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intangible assets, net</w:t>
            </w:r>
          </w:p>
        </w:tc>
        <w:tc>
          <w:tcPr>
            <w:tcW w:w="30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(247.1)</w:t>
            </w:r>
          </w:p>
        </w:tc>
        <w:tc>
          <w:tcPr>
            <w:tcW w:w="38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390.3</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bottom w:val="single" w:sz="8" w:color="auto"/>
            </w:tcBorders>
          </w:tcPr>
          <w:p>
            <w:pPr>
              <w:spacing w:after="0" w:line="20" w:lineRule="exact"/>
              <w:rPr>
                <w:sz w:val="1"/>
                <w:szCs w:val="1"/>
                <w:color w:val="auto"/>
              </w:rPr>
            </w:pPr>
          </w:p>
        </w:tc>
        <w:tc>
          <w:tcPr>
            <w:tcW w:w="3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Amortization expense for finite-lived intangible assets for the three months ended January 30, 2026 and January 31, 2025 were $10.0 million and $7.9 million, respectively. As of January 30, 2026, estimated amortization expense for the remainder of fiscal 2026 and succeeding fiscal years is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372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January 30, 2026</w:t>
            </w:r>
          </w:p>
        </w:tc>
      </w:tr>
      <w:tr>
        <w:trPr>
          <w:trHeight w:val="214"/>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 (remaining)</w:t>
            </w:r>
          </w:p>
        </w:tc>
        <w:tc>
          <w:tcPr>
            <w:tcW w:w="3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r>
      <w:tr>
        <w:trPr>
          <w:trHeight w:val="217"/>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37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r>
      <w:tr>
        <w:trPr>
          <w:trHeight w:val="22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37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r>
      <w:tr>
        <w:trPr>
          <w:trHeight w:val="217"/>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37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w:t>
            </w:r>
          </w:p>
        </w:tc>
      </w:tr>
      <w:tr>
        <w:trPr>
          <w:trHeight w:val="22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37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r>
      <w:tr>
        <w:trPr>
          <w:trHeight w:val="217"/>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2031</w:t>
            </w:r>
          </w:p>
        </w:tc>
        <w:tc>
          <w:tcPr>
            <w:tcW w:w="37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r>
      <w:tr>
        <w:trPr>
          <w:trHeight w:val="220"/>
        </w:trPr>
        <w:tc>
          <w:tcPr>
            <w:tcW w:w="6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37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w:t>
            </w:r>
          </w:p>
        </w:tc>
      </w:tr>
      <w:tr>
        <w:trPr>
          <w:trHeight w:val="213"/>
        </w:trPr>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estimated amortization expense</w:t>
            </w:r>
          </w:p>
        </w:tc>
        <w:tc>
          <w:tcPr>
            <w:tcW w:w="3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235.0</w:t>
            </w:r>
          </w:p>
        </w:tc>
      </w:tr>
      <w:tr>
        <w:trPr>
          <w:trHeight w:val="22"/>
        </w:trPr>
        <w:tc>
          <w:tcPr>
            <w:tcW w:w="6040" w:type="dxa"/>
            <w:vAlign w:val="bottom"/>
            <w:tcBorders>
              <w:bottom w:val="single" w:sz="8" w:color="auto"/>
            </w:tcBorders>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548"/>
        </w:trPr>
        <w:tc>
          <w:tcPr>
            <w:tcW w:w="420" w:type="dxa"/>
            <w:vAlign w:val="bottom"/>
          </w:tcPr>
          <w:p>
            <w:pPr>
              <w:ind w:left="20"/>
              <w:spacing w:after="0"/>
              <w:rPr>
                <w:sz w:val="20"/>
                <w:szCs w:val="20"/>
                <w:color w:val="auto"/>
              </w:rPr>
            </w:pPr>
            <w:r>
              <w:rPr>
                <w:rFonts w:ascii="Times New Roman" w:cs="Times New Roman" w:eastAsia="Times New Roman" w:hAnsi="Times New Roman"/>
                <w:sz w:val="41"/>
                <w:szCs w:val="41"/>
                <w:b w:val="1"/>
                <w:bCs w:val="1"/>
                <w:color w:val="auto"/>
              </w:rPr>
              <w:t>6</w:t>
            </w:r>
          </w:p>
        </w:tc>
        <w:tc>
          <w:tcPr>
            <w:tcW w:w="4420" w:type="dxa"/>
            <w:vAlign w:val="bottom"/>
          </w:tcPr>
          <w:p>
            <w:pPr>
              <w:ind w:left="180"/>
              <w:spacing w:after="0"/>
              <w:rPr>
                <w:sz w:val="20"/>
                <w:szCs w:val="20"/>
                <w:color w:val="auto"/>
              </w:rPr>
            </w:pPr>
            <w:r>
              <w:rPr>
                <w:rFonts w:ascii="Times New Roman" w:cs="Times New Roman" w:eastAsia="Times New Roman" w:hAnsi="Times New Roman"/>
                <w:sz w:val="19"/>
                <w:szCs w:val="19"/>
                <w:b w:val="1"/>
                <w:bCs w:val="1"/>
                <w:color w:val="auto"/>
              </w:rPr>
              <w:t>Indebtedness</w:t>
            </w:r>
          </w:p>
        </w:tc>
        <w:tc>
          <w:tcPr>
            <w:tcW w:w="1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5"/>
        </w:trPr>
        <w:tc>
          <w:tcPr>
            <w:tcW w:w="4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following is a summary of the company's indebtedness:</w:t>
            </w:r>
          </w:p>
        </w:tc>
        <w:tc>
          <w:tcPr>
            <w:tcW w:w="14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129"/>
        </w:trPr>
        <w:tc>
          <w:tcPr>
            <w:tcW w:w="4840" w:type="dxa"/>
            <w:vAlign w:val="bottom"/>
            <w:tcBorders>
              <w:bottom w:val="single" w:sz="8" w:color="auto"/>
            </w:tcBorders>
            <w:gridSpan w:val="2"/>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r>
      <w:tr>
        <w:trPr>
          <w:trHeight w:val="212"/>
        </w:trPr>
        <w:tc>
          <w:tcPr>
            <w:tcW w:w="48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January 30, 2026</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January 31, 2025</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October 31, 2025</w:t>
            </w:r>
          </w:p>
        </w:tc>
      </w:tr>
      <w:tr>
        <w:trPr>
          <w:trHeight w:val="214"/>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Revolving credit facility, due October 2029</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185.0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Term loan, due October 2029</w:t>
            </w:r>
          </w:p>
        </w:tc>
        <w:tc>
          <w:tcPr>
            <w:tcW w:w="14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240" w:type="dxa"/>
            <w:vAlign w:val="bottom"/>
          </w:tcPr>
          <w:p>
            <w:pPr>
              <w:spacing w:after="0"/>
              <w:rPr>
                <w:sz w:val="18"/>
                <w:szCs w:val="18"/>
                <w:color w:val="auto"/>
              </w:rPr>
            </w:pPr>
          </w:p>
        </w:tc>
        <w:tc>
          <w:tcPr>
            <w:tcW w:w="15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200.0</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r>
      <w:tr>
        <w:trPr>
          <w:trHeight w:val="223"/>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 due April 2027</w:t>
            </w:r>
          </w:p>
        </w:tc>
        <w:tc>
          <w:tcPr>
            <w:tcW w:w="1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200.0</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3.81% series A senior notes, due June 2029</w:t>
            </w:r>
          </w:p>
        </w:tc>
        <w:tc>
          <w:tcPr>
            <w:tcW w:w="14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tcPr>
          <w:p>
            <w:pPr>
              <w:spacing w:after="0"/>
              <w:rPr>
                <w:sz w:val="18"/>
                <w:szCs w:val="18"/>
                <w:color w:val="auto"/>
              </w:rPr>
            </w:pPr>
          </w:p>
        </w:tc>
        <w:tc>
          <w:tcPr>
            <w:tcW w:w="15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23"/>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3.91% series B senior notes, due June 2031</w:t>
            </w:r>
          </w:p>
        </w:tc>
        <w:tc>
          <w:tcPr>
            <w:tcW w:w="1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17"/>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3.97% senior notes, due June 2032</w:t>
            </w:r>
          </w:p>
        </w:tc>
        <w:tc>
          <w:tcPr>
            <w:tcW w:w="14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tcPr>
          <w:p>
            <w:pPr>
              <w:spacing w:after="0"/>
              <w:rPr>
                <w:sz w:val="18"/>
                <w:szCs w:val="18"/>
                <w:color w:val="auto"/>
              </w:rPr>
            </w:pPr>
          </w:p>
        </w:tc>
        <w:tc>
          <w:tcPr>
            <w:tcW w:w="15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23"/>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5.27% senior notes, due September 2032</w:t>
            </w:r>
          </w:p>
        </w:tc>
        <w:tc>
          <w:tcPr>
            <w:tcW w:w="1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r>
      <w:tr>
        <w:trPr>
          <w:trHeight w:val="217"/>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7.8% debentures, due June 2027</w:t>
            </w:r>
          </w:p>
        </w:tc>
        <w:tc>
          <w:tcPr>
            <w:tcW w:w="14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tcPr>
          <w:p>
            <w:pPr>
              <w:spacing w:after="0"/>
              <w:rPr>
                <w:sz w:val="18"/>
                <w:szCs w:val="18"/>
                <w:color w:val="auto"/>
              </w:rPr>
            </w:pPr>
          </w:p>
        </w:tc>
        <w:tc>
          <w:tcPr>
            <w:tcW w:w="15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23"/>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6.625% senior notes, due May 2037</w:t>
            </w:r>
          </w:p>
        </w:tc>
        <w:tc>
          <w:tcPr>
            <w:tcW w:w="1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124.2</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w:t>
            </w:r>
          </w:p>
        </w:tc>
      </w:tr>
      <w:tr>
        <w:trPr>
          <w:trHeight w:val="217"/>
        </w:trPr>
        <w:tc>
          <w:tcPr>
            <w:tcW w:w="48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Less: unamortized debt issuance costs</w:t>
            </w:r>
          </w:p>
        </w:tc>
        <w:tc>
          <w:tcPr>
            <w:tcW w:w="1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2.3</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6"/>
        </w:trPr>
        <w:tc>
          <w:tcPr>
            <w:tcW w:w="4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debt</w:t>
            </w:r>
          </w:p>
        </w:tc>
        <w:tc>
          <w:tcPr>
            <w:tcW w:w="14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1,071.7</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1,106.9</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921.5</w:t>
            </w:r>
          </w:p>
        </w:tc>
      </w:tr>
      <w:tr>
        <w:trPr>
          <w:trHeight w:val="217"/>
        </w:trPr>
        <w:tc>
          <w:tcPr>
            <w:tcW w:w="48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Less: current maturities and short-term borrowings</w:t>
            </w:r>
          </w:p>
        </w:tc>
        <w:tc>
          <w:tcPr>
            <w:tcW w:w="1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15.0</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48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less current portion</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1,091.9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921.5</w:t>
            </w:r>
          </w:p>
        </w:tc>
      </w:tr>
      <w:tr>
        <w:trPr>
          <w:trHeight w:val="20"/>
        </w:trPr>
        <w:tc>
          <w:tcPr>
            <w:tcW w:w="420" w:type="dxa"/>
            <w:vAlign w:val="bottom"/>
            <w:tcBorders>
              <w:top w:val="single" w:sz="8" w:color="CCEEFF"/>
              <w:bottom w:val="single" w:sz="8" w:color="auto"/>
            </w:tcBorders>
          </w:tcPr>
          <w:p>
            <w:pPr>
              <w:spacing w:after="0" w:line="20" w:lineRule="exact"/>
              <w:rPr>
                <w:sz w:val="1"/>
                <w:szCs w:val="1"/>
                <w:color w:val="auto"/>
              </w:rPr>
            </w:pPr>
          </w:p>
        </w:tc>
        <w:tc>
          <w:tcPr>
            <w:tcW w:w="44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905"/>
        </w:trPr>
        <w:tc>
          <w:tcPr>
            <w:tcW w:w="4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460" w:type="dxa"/>
            <w:vAlign w:val="bottom"/>
          </w:tcPr>
          <w:p>
            <w:pPr>
              <w:jc w:val="right"/>
              <w:ind w:right="497"/>
              <w:spacing w:after="0"/>
              <w:rPr>
                <w:sz w:val="20"/>
                <w:szCs w:val="20"/>
                <w:color w:val="auto"/>
              </w:rPr>
            </w:pPr>
            <w:r>
              <w:rPr>
                <w:rFonts w:ascii="Times New Roman" w:cs="Times New Roman" w:eastAsia="Times New Roman" w:hAnsi="Times New Roman"/>
                <w:sz w:val="17"/>
                <w:szCs w:val="17"/>
                <w:color w:val="auto"/>
              </w:rPr>
              <w:t>15</w:t>
            </w: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09"/>
        </w:trPr>
        <w:tc>
          <w:tcPr>
            <w:tcW w:w="420" w:type="dxa"/>
            <w:vAlign w:val="bottom"/>
            <w:tcBorders>
              <w:bottom w:val="single" w:sz="8" w:color="9A9A9A"/>
            </w:tcBorders>
          </w:tcPr>
          <w:p>
            <w:pPr>
              <w:spacing w:after="0"/>
              <w:rPr>
                <w:sz w:val="9"/>
                <w:szCs w:val="9"/>
                <w:color w:val="auto"/>
              </w:rPr>
            </w:pPr>
          </w:p>
        </w:tc>
        <w:tc>
          <w:tcPr>
            <w:tcW w:w="442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As of January 30, 2026, principal payments required on the company's outstanding indebtedness, based on the maturity dates defined within the company's debt arrangements, for the remainder of fiscal 2026 and succeeding fiscal years are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9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38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January 30, 2026</w:t>
            </w:r>
          </w:p>
        </w:tc>
      </w:tr>
      <w:tr>
        <w:trPr>
          <w:trHeight w:val="214"/>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 (remaining)</w:t>
            </w:r>
          </w:p>
        </w:tc>
        <w:tc>
          <w:tcPr>
            <w:tcW w:w="3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7"/>
        </w:trPr>
        <w:tc>
          <w:tcPr>
            <w:tcW w:w="5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38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23"/>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38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217"/>
        </w:trPr>
        <w:tc>
          <w:tcPr>
            <w:tcW w:w="5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38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420.0</w:t>
            </w:r>
          </w:p>
        </w:tc>
      </w:tr>
      <w:tr>
        <w:trPr>
          <w:trHeight w:val="223"/>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38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5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2031</w:t>
            </w:r>
          </w:p>
        </w:tc>
        <w:tc>
          <w:tcPr>
            <w:tcW w:w="38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20"/>
        </w:trPr>
        <w:tc>
          <w:tcPr>
            <w:tcW w:w="5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38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425.0</w:t>
            </w:r>
          </w:p>
        </w:tc>
      </w:tr>
      <w:tr>
        <w:trPr>
          <w:trHeight w:val="213"/>
        </w:trPr>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principal payments required</w:t>
            </w:r>
          </w:p>
        </w:tc>
        <w:tc>
          <w:tcPr>
            <w:tcW w:w="3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1,075.0</w:t>
            </w:r>
          </w:p>
        </w:tc>
      </w:tr>
      <w:tr>
        <w:trPr>
          <w:trHeight w:val="22"/>
        </w:trPr>
        <w:tc>
          <w:tcPr>
            <w:tcW w:w="5920" w:type="dxa"/>
            <w:vAlign w:val="bottom"/>
            <w:tcBorders>
              <w:bottom w:val="single" w:sz="8" w:color="auto"/>
            </w:tcBorders>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left="600" w:hanging="579"/>
        <w:spacing w:after="0"/>
        <w:tabs>
          <w:tab w:leader="none" w:pos="600" w:val="left"/>
        </w:tabs>
        <w:numPr>
          <w:ilvl w:val="0"/>
          <w:numId w:val="12"/>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Inventories, Net</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company uses a combination of inventory valuation methods. Inventories are valued at the lower of cost or net realizable value, with cost determined by the first-in, first-out ("FIFO") and average cost methods for certain of the company's inventories. All remaining inventories are valued at the lower of cost or market, with cost determined under the last-in, first-out ("LIFO") method. As needed, the company records an inventory valuation adjustment for excess, slow-moving, and obsolete inventory that is equal to the excess of the cost of the inventory over the estimated net realizable value or market value for the inventory depending on the inventory costing method. Such inventory valuation adjustment is based on a review and comparison of current inventory levels to planned production, as well as planned and historical sales of the inventory. The inventory valuation adjustment to net realizable value or market value establishes a new cost basis of the inventory that cannot be subsequently reversed.</w:t>
      </w:r>
    </w:p>
    <w:p>
      <w:pPr>
        <w:spacing w:after="0" w:line="7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 xml:space="preserve">On December 8, 2025, with the acquisition of Tornado Infrastructure Equipment, the company acquired $36.7 million of inventory, based on preliminary fair value purchase accounting adjustments. For additional information on the company's acquisition of Tornado Infrastructure Equipment, refer to Note 2, </w:t>
      </w:r>
      <w:r>
        <w:rPr>
          <w:rFonts w:ascii="Times New Roman" w:cs="Times New Roman" w:eastAsia="Times New Roman" w:hAnsi="Times New Roman"/>
          <w:sz w:val="17"/>
          <w:szCs w:val="17"/>
          <w:i w:val="1"/>
          <w:iCs w:val="1"/>
          <w:color w:val="auto"/>
        </w:rPr>
        <w:t>Acquisitions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Divestitures</w:t>
      </w:r>
      <w:r>
        <w:rPr>
          <w:rFonts w:ascii="Times New Roman" w:cs="Times New Roman" w:eastAsia="Times New Roman" w:hAnsi="Times New Roman"/>
          <w:sz w:val="17"/>
          <w:szCs w:val="17"/>
          <w:color w:val="auto"/>
        </w:rPr>
        <w: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Inventories, net were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2020" w:type="dxa"/>
            <w:vAlign w:val="bottom"/>
            <w:tcBorders>
              <w:top w:val="single" w:sz="8" w:color="auto"/>
              <w:bottom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January 30, 2026</w:t>
            </w:r>
          </w:p>
        </w:tc>
        <w:tc>
          <w:tcPr>
            <w:tcW w:w="220" w:type="dxa"/>
            <w:vAlign w:val="bottom"/>
            <w:tcBorders>
              <w:top w:val="single" w:sz="8" w:color="auto"/>
              <w:bottom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January 31, 2025</w:t>
            </w:r>
          </w:p>
        </w:tc>
        <w:tc>
          <w:tcPr>
            <w:tcW w:w="20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October 31, 2025</w:t>
            </w:r>
          </w:p>
        </w:tc>
      </w:tr>
      <w:tr>
        <w:trPr>
          <w:trHeight w:val="214"/>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Raw materials and work in process</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396.5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397.6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353.1</w:t>
            </w:r>
          </w:p>
        </w:tc>
      </w:tr>
      <w:tr>
        <w:trPr>
          <w:trHeight w:val="217"/>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Finished goods and service parts</w:t>
            </w:r>
          </w:p>
        </w:tc>
        <w:tc>
          <w:tcPr>
            <w:tcW w:w="20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804.9</w:t>
            </w: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918.9</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785.4</w:t>
            </w:r>
          </w:p>
        </w:tc>
      </w:tr>
      <w:tr>
        <w:trPr>
          <w:trHeight w:val="216"/>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FIFO and average cost value</w:t>
            </w:r>
          </w:p>
        </w:tc>
        <w:tc>
          <w:tcPr>
            <w:tcW w:w="20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1,201.4</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1,316.5</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1,138.5</w:t>
            </w:r>
          </w:p>
        </w:tc>
      </w:tr>
      <w:tr>
        <w:trPr>
          <w:trHeight w:val="217"/>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Excess of FIFO over LIFO cost</w:t>
            </w:r>
          </w:p>
        </w:tc>
        <w:tc>
          <w:tcPr>
            <w:tcW w:w="20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(217.7)</w:t>
            </w: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(173.4)</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(217.7)</w:t>
            </w:r>
          </w:p>
        </w:tc>
      </w:tr>
      <w:tr>
        <w:trPr>
          <w:trHeight w:val="238"/>
        </w:trPr>
        <w:tc>
          <w:tcPr>
            <w:tcW w:w="4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inventories, net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983.7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1,143.1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920.8</w:t>
            </w:r>
          </w:p>
        </w:tc>
      </w:tr>
      <w:tr>
        <w:trPr>
          <w:trHeight w:val="20"/>
        </w:trPr>
        <w:tc>
          <w:tcPr>
            <w:tcW w:w="428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600" w:hanging="579"/>
        <w:spacing w:after="0"/>
        <w:tabs>
          <w:tab w:leader="none" w:pos="600" w:val="left"/>
        </w:tabs>
        <w:numPr>
          <w:ilvl w:val="0"/>
          <w:numId w:val="13"/>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Property, Plant, and Equipment, Net</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Property, plant, and equipment assets are carried at cost less accumulated depreciation. The company generally accounts for depreciation of property, plant, and equipment utilizing the straight-line method over the estimated useful lives of the assets. Buildings and leasehold improvements are generally depreciated over 10 to 40 years, machinery and equipment are generally depreciated over three to 15 years, tooling is generally depreciated over three to five years, and computer hardware and software and website development costs are generally depreciated over two to five years. Expenditures for major renewals and improvements, which substantially increase the useful lives of existing assets, are capitalized. Costs associated with general maintenance and repairs are expensed as incurred within cost of sales or selling, general and administrative expense in the Condensed Consolidated Statements of Earnings depending on the nature and use of the related asset. Interest is capitalized during the construction period for significant capital projects.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 xml:space="preserve">On December 8, 2025, with the acquisition of Tornado Infrastructure Equipment, the company acquired $14.8 million of property, plant, and equipment based on preliminary fair value purchase accounting adjustments. For additional information on the company's acquisition of Tornado Infrastructure Equipment, refer to Note 2, </w:t>
      </w:r>
      <w:r>
        <w:rPr>
          <w:rFonts w:ascii="Times New Roman" w:cs="Times New Roman" w:eastAsia="Times New Roman" w:hAnsi="Times New Roman"/>
          <w:sz w:val="17"/>
          <w:szCs w:val="17"/>
          <w:i w:val="1"/>
          <w:iCs w:val="1"/>
          <w:color w:val="auto"/>
        </w:rPr>
        <w:t>Acquisitions and Divestitures.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Property, plant, and equipment, net was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94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January 30, 2026</w:t>
            </w:r>
          </w:p>
        </w:tc>
        <w:tc>
          <w:tcPr>
            <w:tcW w:w="24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January 31, 2025</w:t>
            </w:r>
          </w:p>
        </w:tc>
        <w:tc>
          <w:tcPr>
            <w:tcW w:w="22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October 31, 2025</w:t>
            </w:r>
          </w:p>
        </w:tc>
      </w:tr>
      <w:tr>
        <w:trPr>
          <w:trHeight w:val="214"/>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 and land improvements</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72.2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w:t>
            </w:r>
          </w:p>
        </w:tc>
      </w:tr>
      <w:tr>
        <w:trPr>
          <w:trHeight w:val="217"/>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Buildings and leasehold improvements</w:t>
            </w:r>
          </w:p>
        </w:tc>
        <w:tc>
          <w:tcPr>
            <w:tcW w:w="19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438.7</w:t>
            </w:r>
          </w:p>
        </w:tc>
        <w:tc>
          <w:tcPr>
            <w:tcW w:w="240" w:type="dxa"/>
            <w:vAlign w:val="bottom"/>
          </w:tcPr>
          <w:p>
            <w:pPr>
              <w:spacing w:after="0"/>
              <w:rPr>
                <w:sz w:val="18"/>
                <w:szCs w:val="18"/>
                <w:color w:val="auto"/>
              </w:rPr>
            </w:pPr>
          </w:p>
        </w:tc>
        <w:tc>
          <w:tcPr>
            <w:tcW w:w="15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371.1</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414.4</w:t>
            </w:r>
          </w:p>
        </w:tc>
      </w:tr>
      <w:tr>
        <w:trPr>
          <w:trHeight w:val="22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Machinery and equipment</w:t>
            </w:r>
          </w:p>
        </w:tc>
        <w:tc>
          <w:tcPr>
            <w:tcW w:w="19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714.2</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675.2</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715.6</w:t>
            </w:r>
          </w:p>
        </w:tc>
      </w:tr>
      <w:tr>
        <w:trPr>
          <w:trHeight w:val="217"/>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Tooling</w:t>
            </w:r>
          </w:p>
        </w:tc>
        <w:tc>
          <w:tcPr>
            <w:tcW w:w="19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252.9</w:t>
            </w:r>
          </w:p>
        </w:tc>
        <w:tc>
          <w:tcPr>
            <w:tcW w:w="240" w:type="dxa"/>
            <w:vAlign w:val="bottom"/>
          </w:tcPr>
          <w:p>
            <w:pPr>
              <w:spacing w:after="0"/>
              <w:rPr>
                <w:sz w:val="18"/>
                <w:szCs w:val="18"/>
                <w:color w:val="auto"/>
              </w:rPr>
            </w:pPr>
          </w:p>
        </w:tc>
        <w:tc>
          <w:tcPr>
            <w:tcW w:w="15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233.0</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255.1</w:t>
            </w:r>
          </w:p>
        </w:tc>
      </w:tr>
      <w:tr>
        <w:trPr>
          <w:trHeight w:val="22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hardware and software</w:t>
            </w:r>
          </w:p>
        </w:tc>
        <w:tc>
          <w:tcPr>
            <w:tcW w:w="19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103.4</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w:t>
            </w:r>
          </w:p>
        </w:tc>
      </w:tr>
      <w:tr>
        <w:trPr>
          <w:trHeight w:val="217"/>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Construction in process</w:t>
            </w:r>
          </w:p>
        </w:tc>
        <w:tc>
          <w:tcPr>
            <w:tcW w:w="19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134.0</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65.1</w:t>
            </w:r>
          </w:p>
        </w:tc>
      </w:tr>
      <w:tr>
        <w:trPr>
          <w:trHeight w:val="216"/>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plant, and equipment, gross</w:t>
            </w:r>
          </w:p>
        </w:tc>
        <w:tc>
          <w:tcPr>
            <w:tcW w:w="19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1,670.7</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1,588.9</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1,636.6</w:t>
            </w:r>
          </w:p>
        </w:tc>
      </w:tr>
      <w:tr>
        <w:trPr>
          <w:trHeight w:val="217"/>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9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1,034.2</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951.1</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1,020.8</w:t>
            </w:r>
          </w:p>
        </w:tc>
      </w:tr>
      <w:tr>
        <w:trPr>
          <w:trHeight w:val="238"/>
        </w:trPr>
        <w:tc>
          <w:tcPr>
            <w:tcW w:w="4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637.8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615.8</w:t>
            </w:r>
          </w:p>
        </w:tc>
      </w:tr>
      <w:tr>
        <w:trPr>
          <w:trHeight w:val="20"/>
        </w:trPr>
        <w:tc>
          <w:tcPr>
            <w:tcW w:w="436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first quarter of fiscal 2026, we acquired $19.8 million of property, plant, and equipment through a non-cash investing and financing transaction.</w:t>
      </w:r>
    </w:p>
    <w:p>
      <w:pPr>
        <w:spacing w:after="0" w:line="142" w:lineRule="exact"/>
        <w:rPr>
          <w:sz w:val="20"/>
          <w:szCs w:val="20"/>
          <w:color w:val="auto"/>
        </w:rPr>
      </w:pPr>
    </w:p>
    <w:p>
      <w:pPr>
        <w:ind w:left="600" w:hanging="579"/>
        <w:spacing w:after="0"/>
        <w:tabs>
          <w:tab w:leader="none" w:pos="600" w:val="left"/>
        </w:tabs>
        <w:numPr>
          <w:ilvl w:val="0"/>
          <w:numId w:val="14"/>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Product Warranty Guarantees</w:t>
      </w:r>
    </w:p>
    <w:p>
      <w:pPr>
        <w:spacing w:after="0" w:line="9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The company’s products are warranted to provide assurance that the product will function as expected and to ensure customer confidence in design, workmanship, and overall quality. Standard warranty coverage is generally provided for specified periods of time and on select products’ hours of usage and generally covers parts, labor, and other expenses for non-maintenance repairs. In addition to the standard warranties offered by the company on its products, the company also sells separately priced extended warranty coverage on select products for a prescribed period after the original warranty period expires. For additional information on the contract liabilities associated with the company's separately priced extended warranties, refer to Note 4, </w:t>
      </w:r>
      <w:r>
        <w:rPr>
          <w:rFonts w:ascii="Times New Roman" w:cs="Times New Roman" w:eastAsia="Times New Roman" w:hAnsi="Times New Roman"/>
          <w:sz w:val="17"/>
          <w:szCs w:val="17"/>
          <w:i w:val="1"/>
          <w:iCs w:val="1"/>
          <w:color w:val="auto"/>
        </w:rPr>
        <w:t>Revenue</w:t>
      </w:r>
      <w:r>
        <w:rPr>
          <w:rFonts w:ascii="Times New Roman" w:cs="Times New Roman" w:eastAsia="Times New Roman" w:hAnsi="Times New Roman"/>
          <w:sz w:val="17"/>
          <w:szCs w:val="17"/>
          <w:color w:val="auto"/>
        </w:rPr>
        <w:t>.</w:t>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At the time of sale, the company recognizes expense and records an accrual by product line for estimated costs in connection with forecasted future warranty claims. The company's estimate of the cost of future warranty claims is based primarily on the estimated number of products under warranty, historical average costs incurred to service warranty claims, the trend in the historical ratio of claims to sales, and the historical length of time between the sale and resulting warranty claim. The company periodically assesses the adequacy of its warranty accruals based on changes in these factors and records any necessary adjustments if the cost of actual claims experience indicates that adjustments to the company's warranty accrual are necessary. Additionally, from time to time, the company may also establish warranty accruals for its estimate of the costs necessary to settle major rework campaigns on a product-specific basis during the period in which the circumstances giving rise to the major rework campaign become known and when the costs to satisfactorily address the situation are both probable and estimable. The warranty accrual for the cost of a major rework campaign is primarily based on an estimate of the cost to repair each affected unit and the number of affected units expected to be repaired.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changes in accrued warranties were as follows:</w:t>
      </w:r>
    </w:p>
    <w:p>
      <w:pPr>
        <w:spacing w:after="0" w:line="144"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0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96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January 30, 2026</w:t>
            </w:r>
          </w:p>
        </w:tc>
        <w:tc>
          <w:tcPr>
            <w:tcW w:w="20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January 31, 2025</w:t>
            </w:r>
          </w:p>
        </w:tc>
      </w:tr>
      <w:tr>
        <w:trPr>
          <w:trHeight w:val="214"/>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152.2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w:t>
            </w:r>
          </w:p>
        </w:tc>
      </w:tr>
      <w:tr>
        <w:trPr>
          <w:trHeight w:val="217"/>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accrual related to warranties issued during the period</w:t>
            </w:r>
          </w:p>
        </w:tc>
        <w:tc>
          <w:tcPr>
            <w:tcW w:w="1960" w:type="dxa"/>
            <w:vAlign w:val="bottom"/>
          </w:tcPr>
          <w:p>
            <w:pPr>
              <w:spacing w:after="0"/>
              <w:rPr>
                <w:sz w:val="18"/>
                <w:szCs w:val="18"/>
                <w:color w:val="auto"/>
              </w:rPr>
            </w:pPr>
          </w:p>
        </w:tc>
        <w:tc>
          <w:tcPr>
            <w:tcW w:w="15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21.5</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r>
      <w:tr>
        <w:trPr>
          <w:trHeight w:val="22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made during the period</w:t>
            </w:r>
          </w:p>
        </w:tc>
        <w:tc>
          <w:tcPr>
            <w:tcW w:w="19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r>
      <w:tr>
        <w:trPr>
          <w:trHeight w:val="217"/>
        </w:trPr>
        <w:tc>
          <w:tcPr>
            <w:tcW w:w="6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Changes in accrual related to pre-existing warranties</w:t>
            </w:r>
          </w:p>
        </w:tc>
        <w:tc>
          <w:tcPr>
            <w:tcW w:w="19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0.3</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38"/>
        </w:trPr>
        <w:tc>
          <w:tcPr>
            <w:tcW w:w="6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152.0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151.0</w:t>
            </w:r>
          </w:p>
        </w:tc>
      </w:tr>
      <w:tr>
        <w:trPr>
          <w:trHeight w:val="20"/>
        </w:trPr>
        <w:tc>
          <w:tcPr>
            <w:tcW w:w="608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10 </w:t>
      </w:r>
      <w:r>
        <w:rPr>
          <w:rFonts w:ascii="Times New Roman" w:cs="Times New Roman" w:eastAsia="Times New Roman" w:hAnsi="Times New Roman"/>
          <w:sz w:val="18"/>
          <w:szCs w:val="18"/>
          <w:b w:val="1"/>
          <w:bCs w:val="1"/>
          <w:color w:val="auto"/>
        </w:rPr>
        <w:t>Investment in Joint Venture</w:t>
      </w:r>
    </w:p>
    <w:p>
      <w:pPr>
        <w:spacing w:after="0" w:line="12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 xml:space="preserve">The company is party to a joint venture with Huntington Distribution Finance, Inc. ("HDF"), a subsidiary of The Huntington National Bank, established as Red Iron Acceptance, LLC ("Red Iron"), the primary purpose of which is to provide customer inventory financing to certain distributors and dealers of certain of the company’s products in the U.S. The company has also entered into a limited inventory repurchase agreement with Red Iron. For additional information regarding the customer financing aspect of the arrangement, as well as the limited inventory purchase agreement, refer to Note 14, </w:t>
      </w:r>
      <w:r>
        <w:rPr>
          <w:rFonts w:ascii="Times New Roman" w:cs="Times New Roman" w:eastAsia="Times New Roman" w:hAnsi="Times New Roman"/>
          <w:sz w:val="17"/>
          <w:szCs w:val="17"/>
          <w:i w:val="1"/>
          <w:iCs w:val="1"/>
          <w:color w:val="auto"/>
        </w:rPr>
        <w:t>Commitments and Contingencies</w:t>
      </w:r>
      <w:r>
        <w:rPr>
          <w:rFonts w:ascii="Times New Roman" w:cs="Times New Roman" w:eastAsia="Times New Roman" w:hAnsi="Times New Roman"/>
          <w:sz w:val="17"/>
          <w:szCs w:val="17"/>
          <w:color w:val="auto"/>
        </w:rPr>
        <w:t>.</w:t>
      </w:r>
    </w:p>
    <w:p>
      <w:pPr>
        <w:spacing w:after="0" w:line="6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owns 45 percent of Red Iron and HDF owns 55 percent of Red Iron. The company accounts for its investment in Red Iron under the equity method of accounting. The company and HDF each contributed a specified amount of the estimated cash required to enable Red Iron to purchase the company's floor plan financing receivables and to provide financial support for Red Iron's floor plan financing programs. Red Iron borrows the remaining requisite estimated cash utilizing an $1,350.0 million secured revolving credit facility established under a credit agreement between Red Iron and HDF. The company's total investment in Red Iron as of January 30, 2026, January 31, 2025 and October 31, 2025 was $40.6 million, $48.0 million, and $41.0 million, respectively. The company has not guaranteed the outstanding indebtedness of Red Iron.</w:t>
      </w: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11 </w:t>
      </w:r>
      <w:r>
        <w:rPr>
          <w:rFonts w:ascii="Times New Roman" w:cs="Times New Roman" w:eastAsia="Times New Roman" w:hAnsi="Times New Roman"/>
          <w:sz w:val="18"/>
          <w:szCs w:val="18"/>
          <w:b w:val="1"/>
          <w:bCs w:val="1"/>
          <w:color w:val="auto"/>
        </w:rPr>
        <w:t>Stock-Based Compensation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Compensation costs related to stock-based compensation awards were as follows:</w:t>
      </w:r>
    </w:p>
    <w:p>
      <w:pPr>
        <w:spacing w:after="0" w:line="144"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204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January 30, 2026</w:t>
            </w:r>
          </w:p>
        </w:tc>
        <w:tc>
          <w:tcPr>
            <w:tcW w:w="2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January 31, 2025</w:t>
            </w:r>
          </w:p>
        </w:tc>
      </w:tr>
      <w:tr>
        <w:trPr>
          <w:trHeight w:val="214"/>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 awards</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7"/>
        </w:trPr>
        <w:tc>
          <w:tcPr>
            <w:tcW w:w="6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Performance share awards</w:t>
            </w:r>
          </w:p>
        </w:tc>
        <w:tc>
          <w:tcPr>
            <w:tcW w:w="2040" w:type="dxa"/>
            <w:vAlign w:val="bottom"/>
          </w:tcPr>
          <w:p>
            <w:pPr>
              <w:spacing w:after="0"/>
              <w:rPr>
                <w:sz w:val="18"/>
                <w:szCs w:val="18"/>
                <w:color w:val="auto"/>
              </w:rPr>
            </w:pPr>
          </w:p>
        </w:tc>
        <w:tc>
          <w:tcPr>
            <w:tcW w:w="15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1.2</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2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unit awards</w:t>
            </w:r>
          </w:p>
        </w:tc>
        <w:tc>
          <w:tcPr>
            <w:tcW w:w="20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2.6</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7"/>
        </w:trPr>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Unrestricted common stock awards</w:t>
            </w:r>
          </w:p>
        </w:tc>
        <w:tc>
          <w:tcPr>
            <w:tcW w:w="20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0.7</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38"/>
        </w:trPr>
        <w:tc>
          <w:tcPr>
            <w:tcW w:w="6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compensation cost for stock-based compensation awards</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5.9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0"/>
        </w:trPr>
        <w:tc>
          <w:tcPr>
            <w:tcW w:w="600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 Option Awards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Stock options are granted with an exercise price equal to the closing price of the company’s common stock on the date of grant, as reported by the New York Stock Exchange. Options are generally granted to executive officers, other employees, and non-employee members of the company’s Board of Directors ("Board") on an annual basis in the first quarter of the company’s fiscal year but may also be granted throughout the fiscal year in connection with hiring, mid-year promotions, leadership transition, or retention, as needed and applicable. Options generally vest one-third each year over a three-year period and have a ten-year term but in certain circumstances, the vesting requirement may be modified such that options granted to certain employees vest in full on the three-year anniversary of the date of grant and have a ten-year term. Compensation cost equal to the grant date fair value determined under the Black-Scholes valuation method is generally recognized for these awards over the vesting period. Compensation cost recognized for other employees not considered executive officers and non-employee Board members is net of estimated forfeitures, which are determined at the time of grant based on historical forfeiture experience. Stock options granted to executive officers and other employees are subject to accelerated expensing if the option holder meets the retirement definition set forth in the company's stock-based compensation plans. In that case, the fair value of the options is expensed in the fiscal year of grant because generally, if the option holder is employed as of the end of the fiscal year in which the options are granted, such options will not be forfeited but continue to vest according to their schedule following retirement. Similarly, if a non-employee Board member has served on the company's Board for ten full fiscal years or more, the awards will not be forfeited but continue to vest according to their schedule following retirement. Therefore, the fair value of the options granted is fully expensed on the date of the grant.</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fair value of each stock option is estimated on the date of grant using various inputs and assumptions under the Black-Scholes valuation method. The expected life is a significant assumption as it determines the period for which the risk-free interest rate, stock price volatility, and dividend yield must be applied. The expected life is the average length of time in which executive officers, other employees, and non-employee Board members are expected to exercise their stock options, which is primarily based on historical exercise experience. The company groups executive officers and non-employee Board members for valuation purposes based on similar historical exercise behavior. Expected stock price volatility is based on the daily movement of the company’s common stock over the most recent historical period equivalent to the expected life of the option. The risk-free interest rate for periods within the contractual life of the option is based on the U.S. Treasury rate over the expected life at the time of grant. The expected dividend yield is estimated over the expected life based on the company’s historical cash dividends paid, expected future cash dividends and dividend yield, and expected changes in the company’s stock price.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table below illustrates the weighted-average valuation assumptions used under the Black-Scholes valuation method for options granted in the first three months of the following fiscal periods: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160" w:type="dxa"/>
            <w:vAlign w:val="bottom"/>
            <w:tcBorders>
              <w:top w:val="single" w:sz="8" w:color="auto"/>
              <w:bottom w:val="single" w:sz="8" w:color="auto"/>
            </w:tcBorders>
          </w:tcPr>
          <w:p>
            <w:pPr>
              <w:spacing w:after="0"/>
              <w:rPr>
                <w:sz w:val="20"/>
                <w:szCs w:val="20"/>
                <w:color w:val="auto"/>
              </w:rPr>
            </w:pPr>
          </w:p>
        </w:tc>
        <w:tc>
          <w:tcPr>
            <w:tcW w:w="3720" w:type="dxa"/>
            <w:vAlign w:val="bottom"/>
            <w:tcBorders>
              <w:top w:val="single" w:sz="8" w:color="auto"/>
              <w:bottom w:val="single" w:sz="8" w:color="auto"/>
            </w:tcBorders>
          </w:tcPr>
          <w:p>
            <w:pPr>
              <w:ind w:left="2620"/>
              <w:spacing w:after="0"/>
              <w:rPr>
                <w:sz w:val="20"/>
                <w:szCs w:val="20"/>
                <w:color w:val="auto"/>
              </w:rPr>
            </w:pPr>
            <w:r>
              <w:rPr>
                <w:rFonts w:ascii="Times New Roman" w:cs="Times New Roman" w:eastAsia="Times New Roman" w:hAnsi="Times New Roman"/>
                <w:sz w:val="16"/>
                <w:szCs w:val="16"/>
                <w:b w:val="1"/>
                <w:bCs w:val="1"/>
                <w:color w:val="auto"/>
              </w:rPr>
              <w:t>Fiscal 2026</w:t>
            </w:r>
          </w:p>
        </w:tc>
        <w:tc>
          <w:tcPr>
            <w:tcW w:w="136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Fiscal 2025</w:t>
            </w:r>
          </w:p>
        </w:tc>
      </w:tr>
      <w:tr>
        <w:trPr>
          <w:trHeight w:val="214"/>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life of option in years</w:t>
            </w:r>
          </w:p>
        </w:tc>
        <w:tc>
          <w:tcPr>
            <w:tcW w:w="3720" w:type="dxa"/>
            <w:vAlign w:val="bottom"/>
            <w:shd w:val="clear" w:color="auto" w:fill="CCEEFF"/>
          </w:tcPr>
          <w:p>
            <w:pPr>
              <w:jc w:val="center"/>
              <w:ind w:left="2238"/>
              <w:spacing w:after="0"/>
              <w:rPr>
                <w:sz w:val="20"/>
                <w:szCs w:val="20"/>
                <w:color w:val="auto"/>
              </w:rPr>
            </w:pPr>
            <w:r>
              <w:rPr>
                <w:rFonts w:ascii="Times New Roman" w:cs="Times New Roman" w:eastAsia="Times New Roman" w:hAnsi="Times New Roman"/>
                <w:sz w:val="16"/>
                <w:szCs w:val="16"/>
                <w:color w:val="auto"/>
                <w:w w:val="99"/>
              </w:rPr>
              <w:t>6.90</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6.42</w:t>
            </w:r>
          </w:p>
        </w:tc>
      </w:tr>
      <w:tr>
        <w:trPr>
          <w:trHeight w:val="217"/>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stock price volatility</w:t>
            </w:r>
          </w:p>
        </w:tc>
        <w:tc>
          <w:tcPr>
            <w:tcW w:w="3720" w:type="dxa"/>
            <w:vAlign w:val="bottom"/>
          </w:tcPr>
          <w:p>
            <w:pPr>
              <w:jc w:val="center"/>
              <w:ind w:left="2218"/>
              <w:spacing w:after="0"/>
              <w:rPr>
                <w:sz w:val="20"/>
                <w:szCs w:val="20"/>
                <w:color w:val="auto"/>
              </w:rPr>
            </w:pPr>
            <w:r>
              <w:rPr>
                <w:rFonts w:ascii="Times New Roman" w:cs="Times New Roman" w:eastAsia="Times New Roman" w:hAnsi="Times New Roman"/>
                <w:sz w:val="16"/>
                <w:szCs w:val="16"/>
                <w:color w:val="auto"/>
              </w:rPr>
              <w:t>28.84%</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28.08%</w:t>
            </w:r>
          </w:p>
        </w:tc>
      </w:tr>
      <w:tr>
        <w:trPr>
          <w:trHeight w:val="22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3720" w:type="dxa"/>
            <w:vAlign w:val="bottom"/>
            <w:shd w:val="clear" w:color="auto" w:fill="CCEEFF"/>
          </w:tcPr>
          <w:p>
            <w:pPr>
              <w:jc w:val="center"/>
              <w:ind w:left="2218"/>
              <w:spacing w:after="0"/>
              <w:rPr>
                <w:sz w:val="20"/>
                <w:szCs w:val="20"/>
                <w:color w:val="auto"/>
              </w:rPr>
            </w:pPr>
            <w:r>
              <w:rPr>
                <w:rFonts w:ascii="Times New Roman" w:cs="Times New Roman" w:eastAsia="Times New Roman" w:hAnsi="Times New Roman"/>
                <w:sz w:val="16"/>
                <w:szCs w:val="16"/>
                <w:color w:val="auto"/>
              </w:rPr>
              <w:t>3.91%</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4.48%</w:t>
            </w:r>
          </w:p>
        </w:tc>
      </w:tr>
      <w:tr>
        <w:trPr>
          <w:trHeight w:val="217"/>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dividend yield</w:t>
            </w:r>
          </w:p>
        </w:tc>
        <w:tc>
          <w:tcPr>
            <w:tcW w:w="3720" w:type="dxa"/>
            <w:vAlign w:val="bottom"/>
          </w:tcPr>
          <w:p>
            <w:pPr>
              <w:jc w:val="center"/>
              <w:ind w:left="2218"/>
              <w:spacing w:after="0"/>
              <w:rPr>
                <w:sz w:val="20"/>
                <w:szCs w:val="20"/>
                <w:color w:val="auto"/>
              </w:rPr>
            </w:pPr>
            <w:r>
              <w:rPr>
                <w:rFonts w:ascii="Times New Roman" w:cs="Times New Roman" w:eastAsia="Times New Roman" w:hAnsi="Times New Roman"/>
                <w:sz w:val="16"/>
                <w:szCs w:val="16"/>
                <w:color w:val="auto"/>
              </w:rPr>
              <w:t>1.41%</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1.43%</w:t>
            </w:r>
          </w:p>
        </w:tc>
      </w:tr>
      <w:tr>
        <w:trPr>
          <w:trHeight w:val="220"/>
        </w:trPr>
        <w:tc>
          <w:tcPr>
            <w:tcW w:w="6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 share weighted-average fair value at date of grant</w:t>
            </w:r>
          </w:p>
        </w:tc>
        <w:tc>
          <w:tcPr>
            <w:tcW w:w="3720" w:type="dxa"/>
            <w:vAlign w:val="bottom"/>
            <w:tcBorders>
              <w:bottom w:val="single" w:sz="8" w:color="auto"/>
            </w:tcBorders>
            <w:shd w:val="clear" w:color="auto" w:fill="CCEEFF"/>
          </w:tcPr>
          <w:p>
            <w:pPr>
              <w:jc w:val="center"/>
              <w:ind w:left="2238"/>
              <w:spacing w:after="0"/>
              <w:rPr>
                <w:sz w:val="20"/>
                <w:szCs w:val="20"/>
                <w:color w:val="auto"/>
              </w:rPr>
            </w:pPr>
            <w:r>
              <w:rPr>
                <w:rFonts w:ascii="Times New Roman" w:cs="Times New Roman" w:eastAsia="Times New Roman" w:hAnsi="Times New Roman"/>
                <w:sz w:val="16"/>
                <w:szCs w:val="16"/>
                <w:color w:val="auto"/>
                <w:w w:val="99"/>
              </w:rPr>
              <w:t>$25.35</w:t>
            </w:r>
          </w:p>
        </w:tc>
        <w:tc>
          <w:tcPr>
            <w:tcW w:w="1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$25.58</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Performance Share Awards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grants performance share awards to executive officers and other employees under which they are entitled to receive shares of the company’s common stock contingent on the achievement of performance goals of the company, which are generally measured over a three-year period. The number of shares of common stock a participant receives can be increased (up to 200 percent of target levels) or reduced (down to zero) based on the level of achievement of performance goals and will vest at the end of a three-year period. Performance share awards are generally granted on an annual basis in the first quarter of the company’s fiscal year but may also be granted throughout the fiscal year in connection with hiring, mid-year promotions, leadership transition, or retention, as needed and applicable. Compensation cost is recognized for these awards on a straight-line basis over the vesting period based on the per share fair value, which is equal to the closing price of the company's common stock on the date of grant, and the probability of achieving each performance goal. The per share weighted-average fair value of performance share awards granted during the first three months of fiscal 2026 and 2025 was $78.47 and $80.21, respectively.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Unit Awards</w:t>
      </w:r>
    </w:p>
    <w:p>
      <w:pPr>
        <w:spacing w:after="0" w:line="1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Restricted stock unit awards are generally granted to executive officers and other employees. Occasionally, restricted stock unit awards may be granted in connection with hiring, mid-year promotions, leadership transition, or retention. Restricted stock unit awards generally vest one-third each year over a three-year period, or vest in full on the three-year anniversary of the date of grant. Compensation cost equal to the grant date fair value, net of estimated forfeitures, is recognized for these awards over the vesting period. The grant date fair value is equal to the closing price of the company's common stock on the date of grant multiplied by the number of shares subject to the restricted stock unit awards and estimated forfeitures are determined on the grant date based on historical forfeiture experience. The per share weighted-average fair value of restricted stock unit awards granted during the first three months of fiscal 2026 and 2025 was $78.84 and $81.00,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Unrestricted Common Stock Awards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During the first three months of fiscal 2026 and 2025, 9,880 and 8,808 shares, respectively, of fully vested unrestricted common stock awards were granted to certain Board members as a component of their compensation for their service on the Board and were recorded within selling, general and administrative expense in the Condensed Consolidated Statements of Earnings. Additionally, the Company's Board members may elect to convert a portion or all of their calendar year annual retainers otherwise payable in cash into shares of the company's common stock.</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12 </w:t>
      </w:r>
      <w:r>
        <w:rPr>
          <w:rFonts w:ascii="Times New Roman" w:cs="Times New Roman" w:eastAsia="Times New Roman" w:hAnsi="Times New Roman"/>
          <w:sz w:val="18"/>
          <w:szCs w:val="18"/>
          <w:b w:val="1"/>
          <w:bCs w:val="1"/>
          <w:color w:val="auto"/>
        </w:rPr>
        <w:t>Stockholders' Equity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Accumulated Other Comprehensive Loss</w:t>
      </w:r>
    </w:p>
    <w:p>
      <w:pPr>
        <w:spacing w:after="0" w:line="12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components of accumulated other comprehensive loss ("AOCL"), net of tax, within the Condensed Consolidated Statements of Stockholders' Equity were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5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76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January 30, 2026</w:t>
            </w:r>
          </w:p>
        </w:tc>
        <w:tc>
          <w:tcPr>
            <w:tcW w:w="240" w:type="dxa"/>
            <w:vAlign w:val="bottom"/>
            <w:tcBorders>
              <w:top w:val="single" w:sz="8" w:color="auto"/>
              <w:bottom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January 31, 2025</w:t>
            </w:r>
          </w:p>
        </w:tc>
        <w:tc>
          <w:tcPr>
            <w:tcW w:w="20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October 31, 2025</w:t>
            </w:r>
          </w:p>
        </w:tc>
      </w:tr>
      <w:tr>
        <w:trPr>
          <w:trHeight w:val="214"/>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43.8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r>
      <w:tr>
        <w:trPr>
          <w:trHeight w:val="217"/>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Pension benefits</w:t>
            </w:r>
          </w:p>
        </w:tc>
        <w:tc>
          <w:tcPr>
            <w:tcW w:w="17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40" w:type="dxa"/>
            <w:vAlign w:val="bottom"/>
          </w:tcPr>
          <w:p>
            <w:pPr>
              <w:spacing w:after="0"/>
              <w:rPr>
                <w:sz w:val="18"/>
                <w:szCs w:val="18"/>
                <w:color w:val="auto"/>
              </w:rPr>
            </w:pPr>
          </w:p>
        </w:tc>
        <w:tc>
          <w:tcPr>
            <w:tcW w:w="15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4.3</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20"/>
        </w:trPr>
        <w:tc>
          <w:tcPr>
            <w:tcW w:w="4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derivative instruments</w:t>
            </w:r>
          </w:p>
        </w:tc>
        <w:tc>
          <w:tcPr>
            <w:tcW w:w="17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13"/>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accumulated other comprehensive loss</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47.2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w:t>
            </w:r>
          </w:p>
        </w:tc>
      </w:tr>
      <w:tr>
        <w:trPr>
          <w:trHeight w:val="22"/>
        </w:trPr>
        <w:tc>
          <w:tcPr>
            <w:tcW w:w="45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and activity of AOCL, net of tax, for the three month periods ended January 30, 2026 and January 31, 2025 were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6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438"/>
              <w:spacing w:after="0" w:line="168" w:lineRule="exact"/>
              <w:rPr>
                <w:sz w:val="20"/>
                <w:szCs w:val="20"/>
                <w:color w:val="auto"/>
              </w:rPr>
            </w:pPr>
            <w:r>
              <w:rPr>
                <w:rFonts w:ascii="Times New Roman" w:cs="Times New Roman" w:eastAsia="Times New Roman" w:hAnsi="Times New Roman"/>
                <w:sz w:val="16"/>
                <w:szCs w:val="16"/>
                <w:b w:val="1"/>
                <w:bCs w:val="1"/>
                <w:color w:val="auto"/>
              </w:rPr>
              <w:t>Foreign</w:t>
            </w:r>
          </w:p>
        </w:tc>
        <w:tc>
          <w:tcPr>
            <w:tcW w:w="3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vMerge w:val="restart"/>
          </w:tcPr>
          <w:p>
            <w:pPr>
              <w:jc w:val="center"/>
              <w:ind w:right="178"/>
              <w:spacing w:after="0"/>
              <w:rPr>
                <w:sz w:val="20"/>
                <w:szCs w:val="20"/>
                <w:color w:val="auto"/>
              </w:rPr>
            </w:pPr>
            <w:r>
              <w:rPr>
                <w:rFonts w:ascii="Times New Roman" w:cs="Times New Roman" w:eastAsia="Times New Roman" w:hAnsi="Times New Roman"/>
                <w:sz w:val="16"/>
                <w:szCs w:val="16"/>
                <w:b w:val="1"/>
                <w:bCs w:val="1"/>
                <w:color w:val="auto"/>
              </w:rPr>
              <w:t>Cash Flow</w:t>
            </w:r>
          </w:p>
        </w:tc>
        <w:tc>
          <w:tcPr>
            <w:tcW w:w="3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jc w:val="center"/>
              <w:ind w:right="138"/>
              <w:spacing w:after="0" w:line="168"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320" w:type="dxa"/>
            <w:vAlign w:val="bottom"/>
          </w:tcPr>
          <w:p>
            <w:pPr>
              <w:spacing w:after="0"/>
              <w:rPr>
                <w:sz w:val="14"/>
                <w:szCs w:val="14"/>
                <w:color w:val="auto"/>
              </w:rPr>
            </w:pPr>
          </w:p>
        </w:tc>
        <w:tc>
          <w:tcPr>
            <w:tcW w:w="1160" w:type="dxa"/>
            <w:vAlign w:val="bottom"/>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Pension</w:t>
            </w:r>
          </w:p>
        </w:tc>
        <w:tc>
          <w:tcPr>
            <w:tcW w:w="2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840" w:type="dxa"/>
            <w:vAlign w:val="bottom"/>
          </w:tcPr>
          <w:p>
            <w:pPr>
              <w:spacing w:after="0"/>
              <w:rPr>
                <w:sz w:val="14"/>
                <w:szCs w:val="14"/>
                <w:color w:val="auto"/>
              </w:rPr>
            </w:pPr>
          </w:p>
        </w:tc>
        <w:tc>
          <w:tcPr>
            <w:tcW w:w="1300" w:type="dxa"/>
            <w:vAlign w:val="bottom"/>
          </w:tcPr>
          <w:p>
            <w:pPr>
              <w:jc w:val="center"/>
              <w:ind w:right="138"/>
              <w:spacing w:after="0" w:line="168"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3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center"/>
              <w:ind w:right="158"/>
              <w:spacing w:after="0" w:line="168" w:lineRule="exact"/>
              <w:rPr>
                <w:sz w:val="20"/>
                <w:szCs w:val="20"/>
                <w:color w:val="auto"/>
              </w:rPr>
            </w:pPr>
            <w:r>
              <w:rPr>
                <w:rFonts w:ascii="Times New Roman" w:cs="Times New Roman" w:eastAsia="Times New Roman" w:hAnsi="Times New Roman"/>
                <w:sz w:val="16"/>
                <w:szCs w:val="16"/>
                <w:b w:val="1"/>
                <w:bCs w:val="1"/>
                <w:color w:val="auto"/>
              </w:rPr>
              <w:t>Derivative</w:t>
            </w:r>
          </w:p>
        </w:tc>
        <w:tc>
          <w:tcPr>
            <w:tcW w:w="360" w:type="dxa"/>
            <w:vAlign w:val="bottom"/>
          </w:tcPr>
          <w:p>
            <w:pPr>
              <w:spacing w:after="0"/>
              <w:rPr>
                <w:sz w:val="14"/>
                <w:szCs w:val="14"/>
                <w:color w:val="auto"/>
              </w:rPr>
            </w:pPr>
          </w:p>
        </w:tc>
        <w:tc>
          <w:tcPr>
            <w:tcW w:w="1100" w:type="dxa"/>
            <w:vAlign w:val="bottom"/>
            <w:vMerge w:val="restart"/>
          </w:tcPr>
          <w:p>
            <w:pPr>
              <w:jc w:val="right"/>
              <w:ind w:right="438"/>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9"/>
        </w:trPr>
        <w:tc>
          <w:tcPr>
            <w:tcW w:w="460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Benefits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October 31, 2025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25.4</w:t>
            </w:r>
          </w:p>
        </w:tc>
        <w:tc>
          <w:tcPr>
            <w:tcW w:w="32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center"/>
              <w:ind w:left="758"/>
              <w:spacing w:after="0"/>
              <w:rPr>
                <w:sz w:val="20"/>
                <w:szCs w:val="20"/>
                <w:color w:val="auto"/>
              </w:rPr>
            </w:pPr>
            <w:r>
              <w:rPr>
                <w:rFonts w:ascii="Times New Roman" w:cs="Times New Roman" w:eastAsia="Times New Roman" w:hAnsi="Times New Roman"/>
                <w:sz w:val="16"/>
                <w:szCs w:val="16"/>
                <w:color w:val="auto"/>
                <w:w w:val="99"/>
              </w:rPr>
              <w:t>4.6</w:t>
            </w:r>
          </w:p>
        </w:tc>
        <w:tc>
          <w:tcPr>
            <w:tcW w:w="36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0" w:type="dxa"/>
            <w:vAlign w:val="bottom"/>
          </w:tcPr>
          <w:p>
            <w:pPr>
              <w:spacing w:after="0"/>
              <w:rPr>
                <w:sz w:val="1"/>
                <w:szCs w:val="1"/>
                <w:color w:val="auto"/>
              </w:rPr>
            </w:pPr>
          </w:p>
        </w:tc>
      </w:tr>
      <w:tr>
        <w:trPr>
          <w:trHeight w:val="217"/>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8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80" w:type="dxa"/>
            <w:vAlign w:val="bottom"/>
          </w:tcPr>
          <w:p>
            <w:pPr>
              <w:jc w:val="center"/>
              <w:ind w:left="758"/>
              <w:spacing w:after="0"/>
              <w:rPr>
                <w:sz w:val="20"/>
                <w:szCs w:val="20"/>
                <w:color w:val="auto"/>
              </w:rPr>
            </w:pPr>
            <w:r>
              <w:rPr>
                <w:rFonts w:ascii="Times New Roman" w:cs="Times New Roman" w:eastAsia="Times New Roman" w:hAnsi="Times New Roman"/>
                <w:sz w:val="16"/>
                <w:szCs w:val="16"/>
                <w:color w:val="auto"/>
                <w:w w:val="99"/>
              </w:rPr>
              <w:t>6.5</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0" w:type="dxa"/>
            <w:vAlign w:val="bottom"/>
          </w:tcPr>
          <w:p>
            <w:pPr>
              <w:spacing w:after="0"/>
              <w:rPr>
                <w:sz w:val="1"/>
                <w:szCs w:val="1"/>
                <w:color w:val="auto"/>
              </w:rPr>
            </w:pPr>
          </w:p>
        </w:tc>
      </w:tr>
      <w:tr>
        <w:trPr>
          <w:trHeight w:val="220"/>
        </w:trPr>
        <w:tc>
          <w:tcPr>
            <w:tcW w:w="4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reclassified from AOCL</w:t>
            </w:r>
          </w:p>
        </w:tc>
        <w:tc>
          <w:tcPr>
            <w:tcW w:w="8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left="738"/>
              <w:spacing w:after="0"/>
              <w:rPr>
                <w:sz w:val="20"/>
                <w:szCs w:val="20"/>
                <w:color w:val="auto"/>
              </w:rPr>
            </w:pPr>
            <w:r>
              <w:rPr>
                <w:rFonts w:ascii="Times New Roman" w:cs="Times New Roman" w:eastAsia="Times New Roman" w:hAnsi="Times New Roman"/>
                <w:sz w:val="16"/>
                <w:szCs w:val="16"/>
                <w:color w:val="auto"/>
                <w:w w:val="97"/>
              </w:rPr>
              <w:t>(2.3)</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3"/>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current period other comprehensive (income) loss</w:t>
            </w:r>
          </w:p>
        </w:tc>
        <w:tc>
          <w:tcPr>
            <w:tcW w:w="8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left="758"/>
              <w:spacing w:after="0"/>
              <w:rPr>
                <w:sz w:val="20"/>
                <w:szCs w:val="20"/>
                <w:color w:val="auto"/>
              </w:rPr>
            </w:pPr>
            <w:r>
              <w:rPr>
                <w:rFonts w:ascii="Times New Roman" w:cs="Times New Roman" w:eastAsia="Times New Roman" w:hAnsi="Times New Roman"/>
                <w:sz w:val="16"/>
                <w:szCs w:val="16"/>
                <w:color w:val="auto"/>
                <w:w w:val="99"/>
              </w:rPr>
              <w:t>4.2</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0" w:type="dxa"/>
            <w:vAlign w:val="bottom"/>
          </w:tcPr>
          <w:p>
            <w:pPr>
              <w:spacing w:after="0"/>
              <w:rPr>
                <w:sz w:val="1"/>
                <w:szCs w:val="1"/>
                <w:color w:val="auto"/>
              </w:rPr>
            </w:pPr>
          </w:p>
        </w:tc>
      </w:tr>
      <w:tr>
        <w:trPr>
          <w:trHeight w:val="238"/>
        </w:trPr>
        <w:tc>
          <w:tcPr>
            <w:tcW w:w="4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January 30, 2026</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3.4</w:t>
            </w:r>
          </w:p>
        </w:tc>
        <w:tc>
          <w:tcPr>
            <w:tcW w:w="32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center"/>
              <w:ind w:left="758"/>
              <w:spacing w:after="0"/>
              <w:rPr>
                <w:sz w:val="20"/>
                <w:szCs w:val="20"/>
                <w:color w:val="auto"/>
              </w:rPr>
            </w:pPr>
            <w:r>
              <w:rPr>
                <w:rFonts w:ascii="Times New Roman" w:cs="Times New Roman" w:eastAsia="Times New Roman" w:hAnsi="Times New Roman"/>
                <w:sz w:val="16"/>
                <w:szCs w:val="16"/>
                <w:color w:val="auto"/>
                <w:w w:val="99"/>
              </w:rPr>
              <w:t>8.8</w:t>
            </w:r>
          </w:p>
        </w:tc>
        <w:tc>
          <w:tcPr>
            <w:tcW w:w="36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6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tcPr>
          <w:p>
            <w:pPr>
              <w:jc w:val="right"/>
              <w:ind w:right="438"/>
              <w:spacing w:after="0" w:line="148" w:lineRule="exact"/>
              <w:rPr>
                <w:sz w:val="20"/>
                <w:szCs w:val="20"/>
                <w:color w:val="auto"/>
              </w:rPr>
            </w:pPr>
            <w:r>
              <w:rPr>
                <w:rFonts w:ascii="Times New Roman" w:cs="Times New Roman" w:eastAsia="Times New Roman" w:hAnsi="Times New Roman"/>
                <w:sz w:val="16"/>
                <w:szCs w:val="16"/>
                <w:b w:val="1"/>
                <w:bCs w:val="1"/>
                <w:color w:val="auto"/>
              </w:rPr>
              <w:t>Foreign</w:t>
            </w: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vMerge w:val="restart"/>
          </w:tcPr>
          <w:p>
            <w:pPr>
              <w:jc w:val="center"/>
              <w:ind w:right="178"/>
              <w:spacing w:after="0"/>
              <w:rPr>
                <w:sz w:val="20"/>
                <w:szCs w:val="20"/>
                <w:color w:val="auto"/>
              </w:rPr>
            </w:pPr>
            <w:r>
              <w:rPr>
                <w:rFonts w:ascii="Times New Roman" w:cs="Times New Roman" w:eastAsia="Times New Roman" w:hAnsi="Times New Roman"/>
                <w:sz w:val="16"/>
                <w:szCs w:val="16"/>
                <w:b w:val="1"/>
                <w:bCs w:val="1"/>
                <w:color w:val="auto"/>
              </w:rPr>
              <w:t>Cash Flow</w:t>
            </w:r>
          </w:p>
        </w:tc>
        <w:tc>
          <w:tcPr>
            <w:tcW w:w="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jc w:val="center"/>
              <w:ind w:right="138"/>
              <w:spacing w:after="0" w:line="168"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320" w:type="dxa"/>
            <w:vAlign w:val="bottom"/>
          </w:tcPr>
          <w:p>
            <w:pPr>
              <w:spacing w:after="0"/>
              <w:rPr>
                <w:sz w:val="14"/>
                <w:szCs w:val="14"/>
                <w:color w:val="auto"/>
              </w:rPr>
            </w:pPr>
          </w:p>
        </w:tc>
        <w:tc>
          <w:tcPr>
            <w:tcW w:w="1160" w:type="dxa"/>
            <w:vAlign w:val="bottom"/>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Pension</w:t>
            </w:r>
          </w:p>
        </w:tc>
        <w:tc>
          <w:tcPr>
            <w:tcW w:w="2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840" w:type="dxa"/>
            <w:vAlign w:val="bottom"/>
          </w:tcPr>
          <w:p>
            <w:pPr>
              <w:spacing w:after="0"/>
              <w:rPr>
                <w:sz w:val="14"/>
                <w:szCs w:val="14"/>
                <w:color w:val="auto"/>
              </w:rPr>
            </w:pPr>
          </w:p>
        </w:tc>
        <w:tc>
          <w:tcPr>
            <w:tcW w:w="1300" w:type="dxa"/>
            <w:vAlign w:val="bottom"/>
          </w:tcPr>
          <w:p>
            <w:pPr>
              <w:jc w:val="center"/>
              <w:ind w:right="138"/>
              <w:spacing w:after="0" w:line="168"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3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center"/>
              <w:ind w:right="158"/>
              <w:spacing w:after="0" w:line="168" w:lineRule="exact"/>
              <w:rPr>
                <w:sz w:val="20"/>
                <w:szCs w:val="20"/>
                <w:color w:val="auto"/>
              </w:rPr>
            </w:pPr>
            <w:r>
              <w:rPr>
                <w:rFonts w:ascii="Times New Roman" w:cs="Times New Roman" w:eastAsia="Times New Roman" w:hAnsi="Times New Roman"/>
                <w:sz w:val="16"/>
                <w:szCs w:val="16"/>
                <w:b w:val="1"/>
                <w:bCs w:val="1"/>
                <w:color w:val="auto"/>
              </w:rPr>
              <w:t>Derivative</w:t>
            </w:r>
          </w:p>
        </w:tc>
        <w:tc>
          <w:tcPr>
            <w:tcW w:w="360" w:type="dxa"/>
            <w:vAlign w:val="bottom"/>
          </w:tcPr>
          <w:p>
            <w:pPr>
              <w:spacing w:after="0"/>
              <w:rPr>
                <w:sz w:val="14"/>
                <w:szCs w:val="14"/>
                <w:color w:val="auto"/>
              </w:rPr>
            </w:pPr>
          </w:p>
        </w:tc>
        <w:tc>
          <w:tcPr>
            <w:tcW w:w="1100" w:type="dxa"/>
            <w:vAlign w:val="bottom"/>
            <w:vMerge w:val="restart"/>
          </w:tcPr>
          <w:p>
            <w:pPr>
              <w:jc w:val="right"/>
              <w:ind w:right="438"/>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9"/>
        </w:trPr>
        <w:tc>
          <w:tcPr>
            <w:tcW w:w="460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Benefits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October 31, 2024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33.9</w:t>
            </w:r>
          </w:p>
        </w:tc>
        <w:tc>
          <w:tcPr>
            <w:tcW w:w="32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center"/>
              <w:ind w:left="758"/>
              <w:spacing w:after="0"/>
              <w:rPr>
                <w:sz w:val="20"/>
                <w:szCs w:val="20"/>
                <w:color w:val="auto"/>
              </w:rPr>
            </w:pPr>
            <w:r>
              <w:rPr>
                <w:rFonts w:ascii="Times New Roman" w:cs="Times New Roman" w:eastAsia="Times New Roman" w:hAnsi="Times New Roman"/>
                <w:sz w:val="16"/>
                <w:szCs w:val="16"/>
                <w:color w:val="auto"/>
                <w:w w:val="99"/>
              </w:rPr>
              <w:t>7.8</w:t>
            </w:r>
          </w:p>
        </w:tc>
        <w:tc>
          <w:tcPr>
            <w:tcW w:w="36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0" w:type="dxa"/>
            <w:vAlign w:val="bottom"/>
          </w:tcPr>
          <w:p>
            <w:pPr>
              <w:spacing w:after="0"/>
              <w:rPr>
                <w:sz w:val="1"/>
                <w:szCs w:val="1"/>
                <w:color w:val="auto"/>
              </w:rPr>
            </w:pPr>
          </w:p>
        </w:tc>
      </w:tr>
      <w:tr>
        <w:trPr>
          <w:trHeight w:val="217"/>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 before reclassifications</w:t>
            </w:r>
          </w:p>
        </w:tc>
        <w:tc>
          <w:tcPr>
            <w:tcW w:w="840" w:type="dxa"/>
            <w:vAlign w:val="bottom"/>
          </w:tcPr>
          <w:p>
            <w:pPr>
              <w:spacing w:after="0"/>
              <w:rPr>
                <w:sz w:val="18"/>
                <w:szCs w:val="18"/>
                <w:color w:val="auto"/>
              </w:rPr>
            </w:pPr>
          </w:p>
        </w:tc>
        <w:tc>
          <w:tcPr>
            <w:tcW w:w="13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9.9</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80" w:type="dxa"/>
            <w:vAlign w:val="bottom"/>
          </w:tcPr>
          <w:p>
            <w:pPr>
              <w:jc w:val="center"/>
              <w:ind w:left="738"/>
              <w:spacing w:after="0"/>
              <w:rPr>
                <w:sz w:val="20"/>
                <w:szCs w:val="20"/>
                <w:color w:val="auto"/>
              </w:rPr>
            </w:pPr>
            <w:r>
              <w:rPr>
                <w:rFonts w:ascii="Times New Roman" w:cs="Times New Roman" w:eastAsia="Times New Roman" w:hAnsi="Times New Roman"/>
                <w:sz w:val="16"/>
                <w:szCs w:val="16"/>
                <w:color w:val="auto"/>
                <w:w w:val="97"/>
              </w:rPr>
              <w:t>(7.3)</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20"/>
        </w:trPr>
        <w:tc>
          <w:tcPr>
            <w:tcW w:w="4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reclassified from AOCL</w:t>
            </w:r>
          </w:p>
        </w:tc>
        <w:tc>
          <w:tcPr>
            <w:tcW w:w="8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left="738"/>
              <w:spacing w:after="0"/>
              <w:rPr>
                <w:sz w:val="20"/>
                <w:szCs w:val="20"/>
                <w:color w:val="auto"/>
              </w:rPr>
            </w:pPr>
            <w:r>
              <w:rPr>
                <w:rFonts w:ascii="Times New Roman" w:cs="Times New Roman" w:eastAsia="Times New Roman" w:hAnsi="Times New Roman"/>
                <w:sz w:val="16"/>
                <w:szCs w:val="16"/>
                <w:color w:val="auto"/>
                <w:w w:val="97"/>
              </w:rPr>
              <w:t>(1.4)</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3"/>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current period other comprehensive loss (income)</w:t>
            </w:r>
          </w:p>
        </w:tc>
        <w:tc>
          <w:tcPr>
            <w:tcW w:w="8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9.9</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left="738"/>
              <w:spacing w:after="0"/>
              <w:rPr>
                <w:sz w:val="20"/>
                <w:szCs w:val="20"/>
                <w:color w:val="auto"/>
              </w:rPr>
            </w:pPr>
            <w:r>
              <w:rPr>
                <w:rFonts w:ascii="Times New Roman" w:cs="Times New Roman" w:eastAsia="Times New Roman" w:hAnsi="Times New Roman"/>
                <w:sz w:val="16"/>
                <w:szCs w:val="16"/>
                <w:color w:val="auto"/>
                <w:w w:val="97"/>
              </w:rPr>
              <w:t>(8.7)</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38"/>
        </w:trPr>
        <w:tc>
          <w:tcPr>
            <w:tcW w:w="4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January 31, 2025</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43.8</w:t>
            </w:r>
          </w:p>
        </w:tc>
        <w:tc>
          <w:tcPr>
            <w:tcW w:w="32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center"/>
              <w:ind w:left="738"/>
              <w:spacing w:after="0"/>
              <w:rPr>
                <w:sz w:val="20"/>
                <w:szCs w:val="20"/>
                <w:color w:val="auto"/>
              </w:rPr>
            </w:pPr>
            <w:r>
              <w:rPr>
                <w:rFonts w:ascii="Times New Roman" w:cs="Times New Roman" w:eastAsia="Times New Roman" w:hAnsi="Times New Roman"/>
                <w:sz w:val="16"/>
                <w:szCs w:val="16"/>
                <w:color w:val="auto"/>
                <w:w w:val="97"/>
              </w:rPr>
              <w:t>(0.9)</w:t>
            </w:r>
          </w:p>
        </w:tc>
        <w:tc>
          <w:tcPr>
            <w:tcW w:w="36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 xml:space="preserve">For additional information on the components reclassified from AOCL to the respective line items in net earnings for derivative instruments refer to Note 16, </w:t>
      </w:r>
      <w:r>
        <w:rPr>
          <w:rFonts w:ascii="Times New Roman" w:cs="Times New Roman" w:eastAsia="Times New Roman" w:hAnsi="Times New Roman"/>
          <w:sz w:val="17"/>
          <w:szCs w:val="17"/>
          <w:i w:val="1"/>
          <w:iCs w:val="1"/>
          <w:color w:val="auto"/>
        </w:rPr>
        <w:t>Derivative Instruments and Hedging Activities</w:t>
      </w:r>
      <w:r>
        <w:rPr>
          <w:rFonts w:ascii="Times New Roman" w:cs="Times New Roman" w:eastAsia="Times New Roman" w:hAnsi="Times New Roman"/>
          <w:sz w:val="17"/>
          <w:szCs w:val="17"/>
          <w:color w:val="auto"/>
        </w:rPr>
        <w:t>.</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13 </w:t>
      </w:r>
      <w:r>
        <w:rPr>
          <w:rFonts w:ascii="Times New Roman" w:cs="Times New Roman" w:eastAsia="Times New Roman" w:hAnsi="Times New Roman"/>
          <w:sz w:val="18"/>
          <w:szCs w:val="18"/>
          <w:b w:val="1"/>
          <w:bCs w:val="1"/>
          <w:color w:val="auto"/>
        </w:rPr>
        <w:t>Per Share Data</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Reconciliation of basic and diluted weighted-average number of shares of common stock outstanding was as follows:</w:t>
      </w:r>
    </w:p>
    <w:p>
      <w:pPr>
        <w:spacing w:after="0" w:line="144"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Borders>
              <w:top w:val="single" w:sz="8" w:color="auto"/>
              <w:bottom w:val="single" w:sz="8" w:color="auto"/>
            </w:tcBorders>
          </w:tcPr>
          <w:p>
            <w:pPr>
              <w:spacing w:after="0"/>
              <w:rPr>
                <w:sz w:val="19"/>
                <w:szCs w:val="19"/>
                <w:color w:val="auto"/>
              </w:rPr>
            </w:pPr>
          </w:p>
        </w:tc>
        <w:tc>
          <w:tcPr>
            <w:tcW w:w="65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(Shares in millions)</w:t>
            </w:r>
          </w:p>
        </w:tc>
        <w:tc>
          <w:tcPr>
            <w:tcW w:w="3100" w:type="dxa"/>
            <w:vAlign w:val="bottom"/>
            <w:tcBorders>
              <w:top w:val="single" w:sz="8" w:color="auto"/>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January 30, 2026</w:t>
            </w:r>
          </w:p>
        </w:tc>
        <w:tc>
          <w:tcPr>
            <w:tcW w:w="160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January 31, 2025</w:t>
            </w: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line="162" w:lineRule="exact"/>
              <w:rPr>
                <w:sz w:val="20"/>
                <w:szCs w:val="20"/>
                <w:color w:val="auto"/>
              </w:rPr>
            </w:pPr>
            <w:r>
              <w:rPr>
                <w:rFonts w:ascii="Times New Roman" w:cs="Times New Roman" w:eastAsia="Times New Roman" w:hAnsi="Times New Roman"/>
                <w:sz w:val="16"/>
                <w:szCs w:val="16"/>
                <w:i w:val="1"/>
                <w:iCs w:val="1"/>
                <w:color w:val="auto"/>
                <w:w w:val="99"/>
              </w:rPr>
              <w:t>Diluted</w:t>
            </w:r>
          </w:p>
        </w:tc>
        <w:tc>
          <w:tcPr>
            <w:tcW w:w="6020" w:type="dxa"/>
            <w:vAlign w:val="bottom"/>
            <w:tcBorders>
              <w:bottom w:val="single" w:sz="8" w:color="CCEEFF"/>
            </w:tcBorders>
            <w:shd w:val="clear" w:color="auto" w:fill="CCEEFF"/>
          </w:tcPr>
          <w:p>
            <w:pPr>
              <w:spacing w:after="0"/>
              <w:rPr>
                <w:sz w:val="16"/>
                <w:szCs w:val="16"/>
                <w:color w:val="auto"/>
              </w:rPr>
            </w:pPr>
          </w:p>
        </w:tc>
        <w:tc>
          <w:tcPr>
            <w:tcW w:w="310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spacing w:after="0"/>
              <w:rPr>
                <w:sz w:val="16"/>
                <w:szCs w:val="16"/>
                <w:color w:val="auto"/>
              </w:rPr>
            </w:pPr>
          </w:p>
        </w:tc>
      </w:tr>
      <w:tr>
        <w:trPr>
          <w:trHeight w:val="217"/>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Weighted-average number of shares of common stock outstanding - Basic</w:t>
            </w:r>
          </w:p>
        </w:tc>
        <w:tc>
          <w:tcPr>
            <w:tcW w:w="310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98.0</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w:t>
            </w:r>
          </w:p>
        </w:tc>
      </w:tr>
      <w:tr>
        <w:trPr>
          <w:trHeight w:val="220"/>
        </w:trPr>
        <w:tc>
          <w:tcPr>
            <w:tcW w:w="20" w:type="dxa"/>
            <w:vAlign w:val="bottom"/>
            <w:tcBorders>
              <w:bottom w:val="single" w:sz="8" w:color="auto"/>
            </w:tcBorders>
            <w:shd w:val="clear" w:color="auto" w:fill="CCEEFF"/>
          </w:tcPr>
          <w:p>
            <w:pPr>
              <w:spacing w:after="0"/>
              <w:rPr>
                <w:sz w:val="19"/>
                <w:szCs w:val="19"/>
                <w:color w:val="auto"/>
              </w:rPr>
            </w:pPr>
          </w:p>
        </w:tc>
        <w:tc>
          <w:tcPr>
            <w:tcW w:w="652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dilutive shares</w:t>
            </w:r>
          </w:p>
        </w:tc>
        <w:tc>
          <w:tcPr>
            <w:tcW w:w="310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0.3</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3"/>
        </w:trPr>
        <w:tc>
          <w:tcPr>
            <w:tcW w:w="20" w:type="dxa"/>
            <w:vAlign w:val="bottom"/>
            <w:tcBorders>
              <w:bottom w:val="single" w:sz="8" w:color="auto"/>
            </w:tcBorders>
          </w:tcPr>
          <w:p>
            <w:pPr>
              <w:spacing w:after="0"/>
              <w:rPr>
                <w:sz w:val="18"/>
                <w:szCs w:val="18"/>
                <w:color w:val="auto"/>
              </w:rPr>
            </w:pPr>
          </w:p>
        </w:tc>
        <w:tc>
          <w:tcPr>
            <w:tcW w:w="6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Weighted-average number of shares of common stock outstanding - Diluted</w:t>
            </w:r>
          </w:p>
        </w:tc>
        <w:tc>
          <w:tcPr>
            <w:tcW w:w="310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98.3</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101.7</w:t>
            </w: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2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effect of dilutive shares from stock option awards and restricted stock unit awards is computed under the treasury stock method. Stock option awards to purchase 2,116,819 and 1,942,590 shares of common stock during the first three months of fiscal 2026 and 2025, respectively, were excluded from the computation of diluted net earnings per share of common stock because they were anti-dilutive.</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14 </w:t>
      </w:r>
      <w:r>
        <w:rPr>
          <w:rFonts w:ascii="Times New Roman" w:cs="Times New Roman" w:eastAsia="Times New Roman" w:hAnsi="Times New Roman"/>
          <w:sz w:val="18"/>
          <w:szCs w:val="18"/>
          <w:b w:val="1"/>
          <w:bCs w:val="1"/>
          <w:color w:val="auto"/>
        </w:rPr>
        <w:t>Commitments and Contingencies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Customer Financing Arrangements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Inventory Financing</w:t>
      </w:r>
    </w:p>
    <w:p>
      <w:pPr>
        <w:spacing w:after="0" w:line="1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is party to inventory financing arrangements with Red Iron, Huntington Commercial Finance Canada, Inc. ("HCFC"), and other third-party financial institutions (collectively, the "financial institutions") which provide inventory financing to certain dealers and distributors of certain of the company's products in the U.S. and internationally. These financing arrangements are structured as an advance in the form of a payment by the financial institutions to the company on behalf of a distributor or dealer with respect to invoices financed by the financial institution. These payments extinguish the obligation of the dealer or distributor to make payment to the company under the terms of the applicable invoice.</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Under separate agreements between the financial institutions and the dealers and distributors, the financial institutions provide loans to the dealers and distributors for the advances paid by the financial institutions to the company. Under these financing arrangements, down payments are not required, and depending on the finance program for each product line, finance charges are incurred by the company, shared between the company and the distributor and/or the dealer, or paid by the distributor or dealer. The financial institutions retain a security interest in the distributors' and dealers' financed inventories and such inventories are monitored regularly through audits. Financing terms to the distributors and dealers require payment as the inventory, which secures the indebtedness, is sold to end-users or when payment otherwise become due under the agreements between the financial institutions and the distributors and dealers, whichever occurs first. Rates are generally indexed to the Secured Overnight Financing Rate ("SOFR"), or an alternative variable rate, plus a fixed percentage that differs based on whether the financing is for a distributor or dealer. Rates may also vary based on the product that is financed.</w:t>
      </w:r>
    </w:p>
    <w:p>
      <w:pPr>
        <w:spacing w:after="0" w:line="7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net amount of receivables financed for dealers and distributors under this arrangement with Red Iron for the three months ended January 30, 2026 and January 31, 2025 were $546.8 million and $552.9 million, respectively. The total amount of net receivables outstanding under this arrangement with Red Iron as of January 30, 2026, January 31, 2025, and October 31, 2025 were $797.4 million, $960.5 million and $807.6 million, respectively. The total amount of receivables due from Red Iron to the company as of January 30, 2026, January 31, 2025, and October 31, 2025 were $22.6 million, $31.6 million and $21.6 million, respectively.</w:t>
      </w:r>
    </w:p>
    <w:p>
      <w:pPr>
        <w:spacing w:after="0" w:line="28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net amount of receivables financed for dealers and distributors under the arrangements with HCFC and the other third-party financial institutions for the three months ended January 30, 2026 and January 31, 2025 were $147.4 million and $148.9 million, respectively. As of January 30, 2026, January 31, 2025, and October 31, 2025, $283.0 million, $266.5 million and $308.3 million, respectively, of receivables financed by HCFC and the other third-party financial institutions were outstanding.</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Inventory Repurchase Agreements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has entered into a limited inventory repurchase agreement with Red Iron and HCFC under which the company has agreed to repurchase certain repossessed products, up to a maximum aggregate amount of $7.5 million in a calendar year. Additionally, as a result of the company's floor plan financing agreements with the other third-party financial institutions, the company also entered into inventory repurchase agreements with the other third-party financial institutions. Under such inventory repurchase agreements, the company has agreed to repurchase products repossessed by the other third-party financial institutions. As of January 30, 2026, January 31, 2025 and October 31, 2025, the company was contingently liable to repurchase up to a maximum amount of $27.5 million, $28.1 million, and $29.0 million, respectively, of inventory related to receivables under these inventory repurchase agreements. The company's financial exposure under these inventory repurchase agreements is limited to the difference between the amount paid to Red Iron, HCFC or other third-party financing institutions for repurchases of inventory and the amount received upon subsequent resale of the repossessed product. The company has repurchased immaterial amounts of inventory pursuant to such arrangements for the three months ended January 30, 2026 and January 31, 2025.</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Supplier Finance Program</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has a supply chain finance service agreement with a third-party financial institution to provide a web-based platform that facilitates the ability of participating suppliers to finance payment obligations from the company with the third-party financial institution. Participating suppliers may, at their sole discretion, make offers to finance one or more payment obligations of the company prior to their scheduled due dates at a discounted price to the third-party financial institution. The company's obligations to its suppliers, including amounts due and scheduled payment dates, are not affected by suppliers' decisions to finance amounts under this supply chain finance arrangement. The company guarantees its payment obligations under the supply chain finance arrangement with the third-party financial institution. The company does not pledge assets as security to the suppliers or the third-party financial institution. As of January 30, 2026, January 31, 2025 and October 31, 2025, $90.9 million, $108.6 million, and $68.8 million, respectively, of the company's outstanding payment obligations were financed by participating suppliers through the third-party financial institution's supply chain finance web-based platform. These obligations are presented within accounts payable in the Condensed Consolidated Balance Sheets.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Litigation</w:t>
      </w:r>
    </w:p>
    <w:p>
      <w:pPr>
        <w:spacing w:after="0" w:line="1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From time to time, the company is party to litigation in the ordinary course of business. Such matters are generally subject to uncertainties and to outcomes that are not predictable with assurance and that may not be known for extended periods of time. Litigation occasionally involves claims for punitive, as well as compensatory, damages arising out of the use of the company’s products. Although the company is self-insured to some extent, the company maintains insurance against certain product liability losses. The company is also subject to litigation and administrative and judicial proceedings with respect to claims involving asbestos and the discharge of hazardous substances into the environment. Some of these claims assert damages and liability for personal injury, remedial investigations or clean-up and other costs and damages. The company is also occasionally involved in commercial disputes, employment or employment-related disputes, and patent litigation cases in which it is asserting or defending against patent infringement claims. To prevent possible infringement of the company’s patents by others, the company periodically reviews competitors’ products. To avoid potential liability with respect to others’ patents, the company reviews certain patents issued by the U.S. Patent and Trademark Office and foreign patent offices. The company believes these activities help minimize its risk of being a defendant in patent infringement litigation.</w:t>
      </w:r>
    </w:p>
    <w:p>
      <w:pPr>
        <w:spacing w:after="0" w:line="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records a liability in its Condensed Consolidated Financial Statements for costs related to claims, including future legal costs, settlements, and judgments, where the company has assessed that a loss is probable and an amount can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a material loss may have been incurred. In the opinion of management, the amount of liability, if any, with respect to these matters, individually or in the aggregate, will not materially affect the company's consolidated results of operations, financial position, or cash flows.</w:t>
      </w:r>
    </w:p>
    <w:p>
      <w:pPr>
        <w:spacing w:after="0" w:line="7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situations where the company receives, or expects to receive, a favorable ruling related to a litigation settlement, the company follows the accounting standards codification guidance for gain contingencies. The company does not allow for the recognition of a gain contingency within its Condensed Consolidated Financial Statements prior to the settlement of the underlying events or contingencies associated with the gain contingency. As a result, the consideration related to a gain contingency is recorded in the Condensed Consolidated Financial Statements during the period in which all underlying events or contingencies are resolved and the gain is realized.</w:t>
      </w:r>
    </w:p>
    <w:p>
      <w:pPr>
        <w:spacing w:after="0" w:line="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15 </w:t>
      </w:r>
      <w:r>
        <w:rPr>
          <w:rFonts w:ascii="Times New Roman" w:cs="Times New Roman" w:eastAsia="Times New Roman" w:hAnsi="Times New Roman"/>
          <w:sz w:val="18"/>
          <w:szCs w:val="18"/>
          <w:b w:val="1"/>
          <w:bCs w:val="1"/>
          <w:color w:val="auto"/>
        </w:rPr>
        <w:t>Leases</w:t>
      </w:r>
    </w:p>
    <w:p>
      <w:pPr>
        <w:spacing w:after="0" w:line="1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company enters into contracts that are, or contain, operating lease agreements for certain property, plant, or equipment assets utilized in the normal course of business, such as buildings for manufacturing facilities, office space, distribution centers, and warehouse facilities; land for product testing sites; machinery and equipment for research and development activities, manufacturing and assembly processes, and administrative tasks; and vehicles for sales, service, marketing, and distribution activities. Contracts that explicitly or implicitly relate to property, plant, and equipment are assessed at inception to determine if the contract is, or contains, a lease. Such contracts for operating lease agreements convey the company's right to direct the use of, and obtain substantially all of the economic benefits from, an identified asset for a defined period of time in exchange for consideration. The lease term begins and is determined upon lease commencement, which is the point in time when the company takes possession of the identified asset, and generally includes all non-cancelable periods. Lease expense for the company's operating leases is recognized on a straight-line basis over the lease term and is recorded within cost of sales or selling, general and administrative expense within the Condensed Consolidated Statements of Earnings as dictated by the nature and use of the underlying asset. The company does not recognize right-of-use assets and lease liabilities, but does recognize expense on a straight-line basis, for short-term operating leases which have a lease term of 12 months or less and do not include an option to purchase the underlying asset.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Lease payments are determined at lease commencement and generally represent fixed lease payments as defined within the respective lease agreement or, in the case of certain lease agreements, variable lease payments that are measured as of the lease commencement date based on the prevailing index or market rate. Future adjustments to variable lease payments are defined and scheduled within the respective lease agreement and are determined based upon the prevailing market or index rate at the time of the adjustment relative to the market or index rate determined at lease commencement. Certain other lease agreements contain variable lease payments that are determined based upon actual utilization of the identified asset. Such future adjustments to variable lease payments and variable lease payments based upon actual utilization of the identified asset are not included within the determination of lease payments at commencement but rather, are recorded as variable lease expense in the period in which the variable lease cost is incurred.</w:t>
      </w:r>
    </w:p>
    <w:p>
      <w:pPr>
        <w:spacing w:after="0" w:line="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Right-of-use assets represent the company's right to use an underlying asset throughout the lease term and lease liabilities represent the company's obligation to make lease payments arising from the lease agreement. The company accounts for operating lease liabilities at lease commencement and on an ongoing basis as the present value of the minimum remaining lease payments under the respective lease term. Minimum remaining lease payments are generally discounted to present value based the estimated incremental borrowing rate at lease commencement as the rate implicit in the lease is generally not readily determinable. Right-of-use assets are measured as the amount of the corresponding operating lease liability for the respective operating lease agreement, adjusted for prepaid or accrued lease payments, the remaining balance of any lease incentives received, unamortized initial direct costs, and impairment of the operating lease right-of-use asset, as applicable.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lease expense incurred on the company’s operating, short-term, and variable leases:</w:t>
      </w:r>
    </w:p>
    <w:p>
      <w:pPr>
        <w:spacing w:after="0" w:line="144"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7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32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January 30, 2026</w:t>
            </w:r>
          </w:p>
        </w:tc>
        <w:tc>
          <w:tcPr>
            <w:tcW w:w="2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January 31, 2025</w:t>
            </w:r>
          </w:p>
        </w:tc>
      </w:tr>
      <w:tr>
        <w:trPr>
          <w:trHeight w:val="214"/>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expense</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7.7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17"/>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lease expense</w:t>
            </w:r>
          </w:p>
        </w:tc>
        <w:tc>
          <w:tcPr>
            <w:tcW w:w="3260" w:type="dxa"/>
            <w:vAlign w:val="bottom"/>
          </w:tcPr>
          <w:p>
            <w:pPr>
              <w:spacing w:after="0"/>
              <w:rPr>
                <w:sz w:val="18"/>
                <w:szCs w:val="18"/>
                <w:color w:val="auto"/>
              </w:rPr>
            </w:pPr>
          </w:p>
        </w:tc>
        <w:tc>
          <w:tcPr>
            <w:tcW w:w="15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1.3</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20"/>
        </w:trPr>
        <w:tc>
          <w:tcPr>
            <w:tcW w:w="4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Variable lease expense</w:t>
            </w:r>
          </w:p>
        </w:tc>
        <w:tc>
          <w:tcPr>
            <w:tcW w:w="3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0.3</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lease expense</w:t>
            </w:r>
          </w:p>
        </w:tc>
        <w:tc>
          <w:tcPr>
            <w:tcW w:w="3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9.3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2"/>
        </w:trPr>
        <w:tc>
          <w:tcPr>
            <w:tcW w:w="478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supplemental cash flow information related to the company's operating leases:</w:t>
      </w:r>
    </w:p>
    <w:p>
      <w:pPr>
        <w:spacing w:after="0" w:line="144"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6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42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January 30, 2026</w:t>
            </w:r>
          </w:p>
        </w:tc>
        <w:tc>
          <w:tcPr>
            <w:tcW w:w="2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January 31, 2025</w:t>
            </w:r>
          </w:p>
        </w:tc>
      </w:tr>
      <w:tr>
        <w:trPr>
          <w:trHeight w:val="214"/>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assets obtained in exchange for lease obligations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9.4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7"/>
        </w:trPr>
        <w:tc>
          <w:tcPr>
            <w:tcW w:w="6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Operating cash flows for amounts included in the measurement of lease liabilities</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7.1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other lease information related to the company's operating leases: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300" w:type="dxa"/>
            <w:vAlign w:val="bottom"/>
            <w:tcBorders>
              <w:top w:val="single" w:sz="8" w:color="auto"/>
              <w:bottom w:val="single" w:sz="8" w:color="auto"/>
            </w:tcBorders>
          </w:tcPr>
          <w:p>
            <w:pPr>
              <w:spacing w:after="0"/>
              <w:rPr>
                <w:sz w:val="20"/>
                <w:szCs w:val="20"/>
                <w:color w:val="auto"/>
              </w:rPr>
            </w:pPr>
          </w:p>
        </w:tc>
        <w:tc>
          <w:tcPr>
            <w:tcW w:w="2480" w:type="dxa"/>
            <w:vAlign w:val="bottom"/>
            <w:tcBorders>
              <w:top w:val="single" w:sz="8" w:color="auto"/>
              <w:bottom w:val="single" w:sz="8" w:color="auto"/>
            </w:tcBorders>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January 30, 2026</w:t>
            </w:r>
          </w:p>
        </w:tc>
        <w:tc>
          <w:tcPr>
            <w:tcW w:w="1820" w:type="dxa"/>
            <w:vAlign w:val="bottom"/>
            <w:tcBorders>
              <w:top w:val="single" w:sz="8" w:color="auto"/>
              <w:bottom w:val="single" w:sz="8" w:color="auto"/>
            </w:tcBorders>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January 31, 2025</w:t>
            </w:r>
          </w:p>
        </w:tc>
        <w:tc>
          <w:tcPr>
            <w:tcW w:w="164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October 31, 2025</w:t>
            </w:r>
          </w:p>
        </w:tc>
      </w:tr>
      <w:tr>
        <w:trPr>
          <w:trHeight w:val="214"/>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of operating leases in years</w:t>
            </w:r>
          </w:p>
        </w:tc>
        <w:tc>
          <w:tcPr>
            <w:tcW w:w="24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7.8</w:t>
            </w:r>
          </w:p>
        </w:tc>
        <w:tc>
          <w:tcPr>
            <w:tcW w:w="182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8.8</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17"/>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 of operating leases</w:t>
            </w:r>
          </w:p>
        </w:tc>
        <w:tc>
          <w:tcPr>
            <w:tcW w:w="24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5.10 %</w:t>
            </w:r>
          </w:p>
        </w:tc>
        <w:tc>
          <w:tcPr>
            <w:tcW w:w="182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5.03 %</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5.04 %</w:t>
            </w:r>
          </w:p>
        </w:tc>
      </w:tr>
    </w:tbl>
    <w:p>
      <w:pPr>
        <w:spacing w:after="0" w:line="19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following table reconciles the total undiscounted future cash flows based on the anticipated future minimum operating lease payments by fiscal year for the company's operating leases to the present value of operating lease liabilities recorded within the Condensed Consolidated Balance Sheets as of January 30, 2026:</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338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January 30, 2026</w:t>
            </w:r>
          </w:p>
        </w:tc>
      </w:tr>
      <w:tr>
        <w:trPr>
          <w:trHeight w:val="214"/>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 (remaining)</w:t>
            </w:r>
          </w:p>
        </w:tc>
        <w:tc>
          <w:tcPr>
            <w:tcW w:w="3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r>
      <w:tr>
        <w:trPr>
          <w:trHeight w:val="217"/>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33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w:t>
            </w: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33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r>
      <w:tr>
        <w:trPr>
          <w:trHeight w:val="217"/>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33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33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r>
      <w:tr>
        <w:trPr>
          <w:trHeight w:val="217"/>
        </w:trPr>
        <w:tc>
          <w:tcPr>
            <w:tcW w:w="6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33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w:t>
            </w: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future minimum operating lease payments</w:t>
            </w:r>
          </w:p>
        </w:tc>
        <w:tc>
          <w:tcPr>
            <w:tcW w:w="33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145.5</w:t>
            </w:r>
          </w:p>
        </w:tc>
      </w:tr>
      <w:tr>
        <w:trPr>
          <w:trHeight w:val="217"/>
        </w:trPr>
        <w:tc>
          <w:tcPr>
            <w:tcW w:w="63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Less: imputed interest</w:t>
            </w:r>
          </w:p>
        </w:tc>
        <w:tc>
          <w:tcPr>
            <w:tcW w:w="33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w:t>
            </w:r>
          </w:p>
        </w:tc>
      </w:tr>
      <w:tr>
        <w:trPr>
          <w:trHeight w:val="238"/>
        </w:trPr>
        <w:tc>
          <w:tcPr>
            <w:tcW w:w="6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Present value of operating lease liabilities</w:t>
            </w:r>
          </w:p>
        </w:tc>
        <w:tc>
          <w:tcPr>
            <w:tcW w:w="3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123.6</w:t>
            </w:r>
          </w:p>
        </w:tc>
      </w:tr>
      <w:tr>
        <w:trPr>
          <w:trHeight w:val="20"/>
        </w:trPr>
        <w:tc>
          <w:tcPr>
            <w:tcW w:w="6380" w:type="dxa"/>
            <w:vAlign w:val="bottom"/>
            <w:tcBorders>
              <w:top w:val="single" w:sz="8" w:color="CCEEFF"/>
              <w:bottom w:val="single" w:sz="8" w:color="auto"/>
            </w:tcBorders>
          </w:tcPr>
          <w:p>
            <w:pPr>
              <w:spacing w:after="0" w:line="20" w:lineRule="exact"/>
              <w:rPr>
                <w:sz w:val="1"/>
                <w:szCs w:val="1"/>
                <w:color w:val="auto"/>
              </w:rPr>
            </w:pPr>
          </w:p>
        </w:tc>
        <w:tc>
          <w:tcPr>
            <w:tcW w:w="33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16 </w:t>
      </w:r>
      <w:r>
        <w:rPr>
          <w:rFonts w:ascii="Times New Roman" w:cs="Times New Roman" w:eastAsia="Times New Roman" w:hAnsi="Times New Roman"/>
          <w:sz w:val="18"/>
          <w:szCs w:val="18"/>
          <w:b w:val="1"/>
          <w:bCs w:val="1"/>
          <w:color w:val="auto"/>
        </w:rPr>
        <w:t>Derivative Instruments and Hedging Activities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 Management Objective of Using Derivatives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company is exposed to foreign currency exchange rate risk arising from transactions in the normal course of business, such as sales to third-party customers, sales and loans to wholly-owned foreign subsidiaries, costs associated with foreign plant operations, and purchases from suppliers. The company’s primary currency exchange rate exposures are with the Euro, the Australian dollar, the Canadian dollar, the British pound, the Mexican peso, the Japanese yen, the Chinese renminbi, and the Romanian new leu against the U.S. dollar, as well as the Romanian new leu against the Euro.</w:t>
      </w:r>
    </w:p>
    <w:p>
      <w:pPr>
        <w:spacing w:after="0" w:line="6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To reduce its exposure to foreign currency exchange rate risk, the company enters into various derivative instruments to hedge against such risk, authorized under a company policy that places controls on these hedging activities, with counterparties that are highly rated financial institutions. The company’s policy does not allow the use of derivative instruments for trading or speculative purposes. The company has also made an accounting policy election to use the portfolio exception with respect to measuring counterparty credit risk for derivative instruments and to measure the fair value of a portfolio of financial assets and financial liabilities on the basis of the net open risk position with each counterparty.</w:t>
      </w:r>
    </w:p>
    <w:p>
      <w:pPr>
        <w:spacing w:after="0" w:line="7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company’s hedging activities primarily involve the use of forward currency contracts to hedge most foreign currency transactions, including forecasted sales and purchases denominated in foreign currencies. The company uses derivative instruments only in an attempt to limit underlying exposure from foreign currency exchange rate fluctuations and to minimize earnings and cash flow volatility associated with foreign currency exchange rate fluctuations. Decisions on whether to use such derivative instruments are primarily based on the amount of exposure to the currency involved and an assessment of the near-term market value for each currency.</w:t>
      </w:r>
    </w:p>
    <w:p>
      <w:pPr>
        <w:spacing w:after="0" w:line="7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company recognizes all derivative instruments at fair value on the Condensed Consolidated Balance Sheets as either assets or liabilities. The accounting for changes in the fair value of a derivative instrument depends on whether it has been designated and qualifies as a cash flow hedging instrument.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 Hedging Instruments</w:t>
      </w:r>
    </w:p>
    <w:p>
      <w:pPr>
        <w:spacing w:after="0" w:line="1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formally documents relationships between cash flow hedging instruments and the related hedged transactions, as well as its risk-management objective and strategy for undertaking cash flow hedging instruments. This process includes linking all cash flow hedging instruments to the forecasted transactions, such as sales to third-parties and costs associated with foreign plant operations, including purchases from suppliers. At the cash flow hedge’s inception and on an ongoing basis, the company formally assesses whether the cash flow hedging instruments have been highly effective in offsetting changes in the cash flows of the hedged transactions and whether those cash flow hedging instruments may be expected to remain highly effective in future periods.</w:t>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Changes in the fair values of the spot rate component of outstanding, highly effective cash flow hedging instruments included in the assessment of hedge effectiveness are recorded in other comprehensive income within AOCL on the Condensed Consolidated Balance Sheets and are subsequently reclassified to net earnings within the Condensed Consolidated Statements of Earnings during the same period in which the cash flows of the underlying hedged transaction affect net earnings. Changes in the fair values of hedge components excluded from the assessment of effectiveness are recognized immediately in net earnings under the mark-to-market approach. The classification of gains or losses recognized on cash flow hedging instruments and excluded components within the Condensed Consolidated Statements of Earnings is the same as that of the underlying exposure. Results of cash flow hedging instruments, and the related excluded components, of sales and costs associated with foreign plant operations, including purchases from suppliers, are recorded in net sales and cost of sales, respectively. The maximum amount of time the company hedges its exposure to the variability in future cash flows for forecasted trade sales and purchases is two years.</w:t>
      </w:r>
    </w:p>
    <w:p>
      <w:pPr>
        <w:spacing w:after="0" w:line="2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When it is determined that a derivative instrument is not, or has ceased to be, highly effective as a cash flow hedge, the company discontinues cash flow hedge accounting prospectively. The gain or loss on the dedesignated derivative instrument remains in AOCL and is reclassified to net earnings within the same Condensed Consolidated Statements of Earnings line item as the underlying exposure when the forecasted transaction affects net earnings. When the company discontinues cash flow hedge accounting because it is no longer probable, but it is still reasonably possible that the forecasted transaction will occur by the end of the originally expected period or within an additional two-month period of time thereafter, the gain or loss on the derivative instrument remains in AOCL and is reclassified to net earnings within the same Condensed Consolidated Statements of Earnings line item as the underlying exposure when the forecasted transaction affects net earnings. However, if it is probable that a forecasted transaction will not occur by the end of the originally specified time period or within an additional two-month period of time thereafter, the gains and losses that were in AOCL are immediately recognized in net earnings within other income, net in the Condensed Consolidated Statements of Earnings. In all situations in which cash flow hedge accounting is discontinued and the derivative instrument remains outstanding, the company carries the derivative instrument at its fair value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on the Condensed Consolidated Balance Sheets, recognizing future changes in the fair value within other income, net in the Condensed Consolidated Statements of Earnings.</w:t>
      </w:r>
    </w:p>
    <w:p>
      <w:pPr>
        <w:spacing w:after="0" w:line="48" w:lineRule="exact"/>
        <w:rPr>
          <w:sz w:val="20"/>
          <w:szCs w:val="20"/>
          <w:color w:val="auto"/>
        </w:rPr>
      </w:pPr>
    </w:p>
    <w:p>
      <w:pPr>
        <w:ind w:right="700"/>
        <w:spacing w:after="0" w:line="380" w:lineRule="auto"/>
        <w:rPr>
          <w:sz w:val="20"/>
          <w:szCs w:val="20"/>
          <w:color w:val="auto"/>
        </w:rPr>
      </w:pPr>
      <w:r>
        <w:rPr>
          <w:rFonts w:ascii="Times New Roman" w:cs="Times New Roman" w:eastAsia="Times New Roman" w:hAnsi="Times New Roman"/>
          <w:sz w:val="17"/>
          <w:szCs w:val="17"/>
          <w:color w:val="auto"/>
        </w:rPr>
        <w:t xml:space="preserve">As of January 30, 2026, the notional amount outstanding of forward currency contracts designated as cash flow hedging instruments was $377.8 million. </w:t>
      </w:r>
      <w:r>
        <w:rPr>
          <w:rFonts w:ascii="Times New Roman" w:cs="Times New Roman" w:eastAsia="Times New Roman" w:hAnsi="Times New Roman"/>
          <w:sz w:val="17"/>
          <w:szCs w:val="17"/>
          <w:b w:val="1"/>
          <w:bCs w:val="1"/>
          <w:i w:val="1"/>
          <w:iCs w:val="1"/>
          <w:color w:val="auto"/>
        </w:rPr>
        <w:t>Derivatives Not Designated as Cash Flow Hedging Instruments</w:t>
      </w:r>
    </w:p>
    <w:p>
      <w:pPr>
        <w:spacing w:after="0" w:line="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also enters into foreign currency contracts that include forward currency contracts to mitigate the remeasurement of specific assets and liabilities on the Condensed Consolidated Balance Sheets. These contracts are not designated as cash flow hedging instruments. Accordingly, changes in the fair value of hedges of recorded balance sheet positions, such as cash, receivables, payables, intercompany notes, and other various contractual claims to pay or receive foreign currencies other than the functional currency, are recognized immediately in other income, net, on the Condensed Consolidated Statements of Earnings together with the transaction gain or loss from the hedged balance sheet position.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fair value and location of the company’s derivative instruments on the Condensed Consolidated Balance Sheets: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14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January 30, 2026</w:t>
            </w:r>
          </w:p>
        </w:tc>
        <w:tc>
          <w:tcPr>
            <w:tcW w:w="24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January 31, 2025</w:t>
            </w:r>
          </w:p>
        </w:tc>
        <w:tc>
          <w:tcPr>
            <w:tcW w:w="22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October 31, 2025</w:t>
            </w:r>
          </w:p>
        </w:tc>
      </w:tr>
      <w:tr>
        <w:trPr>
          <w:trHeight w:val="214"/>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w:t>
            </w:r>
          </w:p>
        </w:tc>
        <w:tc>
          <w:tcPr>
            <w:tcW w:w="1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8"/>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Derivatives designated as cash flow hedging instruments:</w:t>
            </w:r>
          </w:p>
        </w:tc>
        <w:tc>
          <w:tcPr>
            <w:tcW w:w="1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2"/>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7"/>
        </w:trPr>
        <w:tc>
          <w:tcPr>
            <w:tcW w:w="5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11.2</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23"/>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Derivatives not designated as cash flow hedging instruments:</w:t>
            </w:r>
          </w:p>
        </w:tc>
        <w:tc>
          <w:tcPr>
            <w:tcW w:w="1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7"/>
        </w:trPr>
        <w:tc>
          <w:tcPr>
            <w:tcW w:w="5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0"/>
        </w:trPr>
        <w:tc>
          <w:tcPr>
            <w:tcW w:w="516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2.4</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3"/>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derivative assets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13.6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2"/>
        </w:trPr>
        <w:tc>
          <w:tcPr>
            <w:tcW w:w="5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58"/>
        </w:trPr>
        <w:tc>
          <w:tcPr>
            <w:tcW w:w="5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80" w:type="dxa"/>
            <w:vAlign w:val="bottom"/>
          </w:tcPr>
          <w:p>
            <w:pPr>
              <w:spacing w:after="0"/>
              <w:rPr>
                <w:sz w:val="5"/>
                <w:szCs w:val="5"/>
                <w:color w:val="auto"/>
              </w:rPr>
            </w:pPr>
          </w:p>
        </w:tc>
      </w:tr>
      <w:tr>
        <w:trPr>
          <w:trHeight w:val="22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w:t>
            </w:r>
          </w:p>
        </w:tc>
        <w:tc>
          <w:tcPr>
            <w:tcW w:w="1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8"/>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Derivatives designated as cash flow hedging instruments:</w:t>
            </w:r>
          </w:p>
        </w:tc>
        <w:tc>
          <w:tcPr>
            <w:tcW w:w="1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2"/>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liabilities</w:t>
            </w:r>
          </w:p>
        </w:tc>
        <w:tc>
          <w:tcPr>
            <w:tcW w:w="1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7"/>
        </w:trPr>
        <w:tc>
          <w:tcPr>
            <w:tcW w:w="5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4.5</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23"/>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Derivatives not designated as cash flow hedging instruments:</w:t>
            </w:r>
          </w:p>
        </w:tc>
        <w:tc>
          <w:tcPr>
            <w:tcW w:w="1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7"/>
        </w:trPr>
        <w:tc>
          <w:tcPr>
            <w:tcW w:w="5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liabilities</w:t>
            </w:r>
          </w:p>
        </w:tc>
        <w:tc>
          <w:tcPr>
            <w:tcW w:w="1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0"/>
        </w:trPr>
        <w:tc>
          <w:tcPr>
            <w:tcW w:w="516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0.3</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3"/>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4.8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2"/>
        </w:trPr>
        <w:tc>
          <w:tcPr>
            <w:tcW w:w="5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entered into an International Swap Dealers Association ("ISDA") Master Agreement with each counterparty that permits the net settlement of amounts owed under their respective contracts. The ISDA Master Agreement is an industry standardized contract that governs all derivative contracts entered into between the company and the respective counterparty. Under these master netting agreements, net settlement generally permits the company or the counterparty to determine the net amount payable or receivable for contracts due on the same date or in the same currency for similar types of derivative transactions. The company records the fair value of its derivative instruments at the net amount on its Condensed Consolidated Balance Sheets.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effects of the master netting arrangements on the fair value of the company’s derivative instruments that are recorded on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Condensed Consolidated Balance Sheets: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7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60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January 30, 2026</w:t>
            </w:r>
          </w:p>
        </w:tc>
        <w:tc>
          <w:tcPr>
            <w:tcW w:w="24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January 31, 2025</w:t>
            </w:r>
          </w:p>
        </w:tc>
        <w:tc>
          <w:tcPr>
            <w:tcW w:w="22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October 31, 2025</w:t>
            </w:r>
          </w:p>
        </w:tc>
      </w:tr>
      <w:tr>
        <w:trPr>
          <w:trHeight w:val="214"/>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w:t>
            </w:r>
          </w:p>
        </w:tc>
        <w:tc>
          <w:tcPr>
            <w:tcW w:w="16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8"/>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Forward currency contracts:</w:t>
            </w:r>
          </w:p>
        </w:tc>
        <w:tc>
          <w:tcPr>
            <w:tcW w:w="16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2"/>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amount of derivative assets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13.8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17"/>
        </w:trPr>
        <w:tc>
          <w:tcPr>
            <w:tcW w:w="47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Derivative liabilities offsetting derivative assets</w:t>
            </w:r>
          </w:p>
        </w:tc>
        <w:tc>
          <w:tcPr>
            <w:tcW w:w="16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0.2</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38"/>
        </w:trPr>
        <w:tc>
          <w:tcPr>
            <w:tcW w:w="4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amount of derivative assets</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13.6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0"/>
        </w:trPr>
        <w:tc>
          <w:tcPr>
            <w:tcW w:w="47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39"/>
        </w:trPr>
        <w:tc>
          <w:tcPr>
            <w:tcW w:w="47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2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w:t>
            </w:r>
          </w:p>
        </w:tc>
        <w:tc>
          <w:tcPr>
            <w:tcW w:w="16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8"/>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Forward currency contracts:</w:t>
            </w:r>
          </w:p>
        </w:tc>
        <w:tc>
          <w:tcPr>
            <w:tcW w:w="16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2"/>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amount of derivative liabilities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17"/>
        </w:trPr>
        <w:tc>
          <w:tcPr>
            <w:tcW w:w="47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Derivative assets offsetting derivative liabilities</w:t>
            </w:r>
          </w:p>
        </w:tc>
        <w:tc>
          <w:tcPr>
            <w:tcW w:w="16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38"/>
        </w:trPr>
        <w:tc>
          <w:tcPr>
            <w:tcW w:w="4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amount of derivative liabilities</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0"/>
        </w:trPr>
        <w:tc>
          <w:tcPr>
            <w:tcW w:w="47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following table presents the impact and location of the amounts reclassified from AOCL into net earnings on the Condensed Consolidated Statements of Earnings and the impact of derivative instruments on the Condensed Consolidated Statements of Comprehensive Income for the company's derivatives designated as cash flow hedging instruments for the three months ended January 30, 2026 and January 31, 2025:</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3"/>
          </w:tcPr>
          <w:p>
            <w:pPr>
              <w:jc w:val="right"/>
              <w:ind w:right="67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155"/>
        </w:trPr>
        <w:tc>
          <w:tcPr>
            <w:tcW w:w="5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60" w:type="dxa"/>
            <w:vAlign w:val="bottom"/>
            <w:gridSpan w:val="3"/>
          </w:tcPr>
          <w:p>
            <w:pPr>
              <w:jc w:val="center"/>
              <w:ind w:right="58"/>
              <w:spacing w:after="0" w:line="155" w:lineRule="exact"/>
              <w:rPr>
                <w:sz w:val="20"/>
                <w:szCs w:val="20"/>
                <w:color w:val="auto"/>
              </w:rPr>
            </w:pPr>
            <w:r>
              <w:rPr>
                <w:rFonts w:ascii="Times New Roman" w:cs="Times New Roman" w:eastAsia="Times New Roman" w:hAnsi="Times New Roman"/>
                <w:sz w:val="16"/>
                <w:szCs w:val="16"/>
                <w:b w:val="1"/>
                <w:bCs w:val="1"/>
                <w:color w:val="auto"/>
              </w:rPr>
              <w:t>Loss Reclassified from AOCL into</w:t>
            </w:r>
          </w:p>
        </w:tc>
        <w:tc>
          <w:tcPr>
            <w:tcW w:w="160" w:type="dxa"/>
            <w:vAlign w:val="bottom"/>
          </w:tcPr>
          <w:p>
            <w:pPr>
              <w:spacing w:after="0"/>
              <w:rPr>
                <w:sz w:val="13"/>
                <w:szCs w:val="13"/>
                <w:color w:val="auto"/>
              </w:rPr>
            </w:pPr>
          </w:p>
        </w:tc>
        <w:tc>
          <w:tcPr>
            <w:tcW w:w="2840" w:type="dxa"/>
            <w:vAlign w:val="bottom"/>
            <w:gridSpan w:val="3"/>
          </w:tcPr>
          <w:p>
            <w:pPr>
              <w:jc w:val="right"/>
              <w:ind w:right="198"/>
              <w:spacing w:after="0" w:line="155" w:lineRule="exact"/>
              <w:rPr>
                <w:sz w:val="20"/>
                <w:szCs w:val="20"/>
                <w:color w:val="auto"/>
              </w:rPr>
            </w:pPr>
            <w:r>
              <w:rPr>
                <w:rFonts w:ascii="Times New Roman" w:cs="Times New Roman" w:eastAsia="Times New Roman" w:hAnsi="Times New Roman"/>
                <w:sz w:val="16"/>
                <w:szCs w:val="16"/>
                <w:b w:val="1"/>
                <w:bCs w:val="1"/>
                <w:color w:val="auto"/>
              </w:rPr>
              <w:t>(Loss) Gain Recognized in OCI on</w:t>
            </w:r>
          </w:p>
        </w:tc>
      </w:tr>
      <w:tr>
        <w:trPr>
          <w:trHeight w:val="219"/>
        </w:trPr>
        <w:tc>
          <w:tcPr>
            <w:tcW w:w="5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3"/>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6"/>
                <w:szCs w:val="16"/>
                <w:b w:val="1"/>
                <w:bCs w:val="1"/>
                <w:color w:val="auto"/>
              </w:rPr>
              <w:t>Derivatives</w:t>
            </w:r>
          </w:p>
        </w:tc>
      </w:tr>
      <w:tr>
        <w:trPr>
          <w:trHeight w:val="212"/>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rPr>
              <w:t>January 30, 2026</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January 31, 2025</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January 30, 2026</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January 31, 2025</w:t>
            </w:r>
          </w:p>
        </w:tc>
      </w:tr>
      <w:tr>
        <w:trPr>
          <w:trHeight w:val="214"/>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Derivatives designated as cash flow hedging instruments:</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7"/>
        </w:trPr>
        <w:tc>
          <w:tcPr>
            <w:tcW w:w="5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3"/>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center"/>
              <w:ind w:left="858"/>
              <w:spacing w:after="0"/>
              <w:rPr>
                <w:sz w:val="20"/>
                <w:szCs w:val="20"/>
                <w:color w:val="auto"/>
              </w:rPr>
            </w:pPr>
            <w:r>
              <w:rPr>
                <w:rFonts w:ascii="Times New Roman" w:cs="Times New Roman" w:eastAsia="Times New Roman" w:hAnsi="Times New Roman"/>
                <w:sz w:val="16"/>
                <w:szCs w:val="16"/>
                <w:color w:val="auto"/>
                <w:w w:val="99"/>
              </w:rPr>
              <w:t>0.2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(8.9)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17"/>
        </w:trPr>
        <w:tc>
          <w:tcPr>
            <w:tcW w:w="52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Cost of sales</w:t>
            </w: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left="818"/>
              <w:spacing w:after="0"/>
              <w:rPr>
                <w:sz w:val="20"/>
                <w:szCs w:val="20"/>
                <w:color w:val="auto"/>
              </w:rPr>
            </w:pPr>
            <w:r>
              <w:rPr>
                <w:rFonts w:ascii="Times New Roman" w:cs="Times New Roman" w:eastAsia="Times New Roman" w:hAnsi="Times New Roman"/>
                <w:sz w:val="16"/>
                <w:szCs w:val="16"/>
                <w:color w:val="auto"/>
              </w:rPr>
              <w:t>(1.6)</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4.7</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38"/>
        </w:trPr>
        <w:tc>
          <w:tcPr>
            <w:tcW w:w="5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derivatives designated as cash flow hedging instruments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CEEFF"/>
          </w:tcPr>
          <w:p>
            <w:pPr>
              <w:jc w:val="center"/>
              <w:ind w:left="818"/>
              <w:spacing w:after="0"/>
              <w:rPr>
                <w:sz w:val="20"/>
                <w:szCs w:val="20"/>
                <w:color w:val="auto"/>
              </w:rPr>
            </w:pPr>
            <w:r>
              <w:rPr>
                <w:rFonts w:ascii="Times New Roman" w:cs="Times New Roman" w:eastAsia="Times New Roman" w:hAnsi="Times New Roman"/>
                <w:sz w:val="16"/>
                <w:szCs w:val="16"/>
                <w:color w:val="auto"/>
              </w:rPr>
              <w:t>(1.4)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(4.2)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0"/>
        </w:trPr>
        <w:tc>
          <w:tcPr>
            <w:tcW w:w="5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company recognized immaterial gains and losses within other income, net in the Condensed Consolidated Statements of Earnings during the first quarter and first three months of fiscal 2026 and fiscal 2025, respectively, due to the discontinuance of cash flow hedge accounting on certain forward currency contracts designated as cash flow hedging instruments. As of January 30, 2026, the company expects to reclassify approximately $9.5 million of losses from AOCL to earnings during the next twelve months.</w:t>
      </w:r>
    </w:p>
    <w:p>
      <w:pPr>
        <w:spacing w:after="0" w:line="67"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following tables present the impact and location of derivative instruments on the Condensed Consolidated Statements of Earnings for the company’s derivatives designated as cash flow hedging instruments and the related components excluded from effectiveness testing:</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720" w:type="dxa"/>
            <w:vAlign w:val="bottom"/>
            <w:tcBorders>
              <w:bottom w:val="single" w:sz="8" w:color="auto"/>
            </w:tcBorders>
            <w:gridSpan w:val="7"/>
          </w:tcPr>
          <w:p>
            <w:pPr>
              <w:jc w:val="right"/>
              <w:ind w:right="378"/>
              <w:spacing w:after="0"/>
              <w:rPr>
                <w:sz w:val="20"/>
                <w:szCs w:val="20"/>
                <w:color w:val="auto"/>
              </w:rPr>
            </w:pPr>
            <w:r>
              <w:rPr>
                <w:rFonts w:ascii="Times New Roman" w:cs="Times New Roman" w:eastAsia="Times New Roman" w:hAnsi="Times New Roman"/>
                <w:sz w:val="16"/>
                <w:szCs w:val="16"/>
                <w:b w:val="1"/>
                <w:bCs w:val="1"/>
                <w:color w:val="auto"/>
              </w:rPr>
              <w:t>(Loss) Gain Recognized in Earnings on Cash Flow Hedging Instruments</w:t>
            </w:r>
          </w:p>
        </w:tc>
        <w:tc>
          <w:tcPr>
            <w:tcW w:w="0" w:type="dxa"/>
            <w:vAlign w:val="bottom"/>
          </w:tcPr>
          <w:p>
            <w:pPr>
              <w:spacing w:after="0"/>
              <w:rPr>
                <w:sz w:val="1"/>
                <w:szCs w:val="1"/>
                <w:color w:val="auto"/>
              </w:rPr>
            </w:pPr>
          </w:p>
        </w:tc>
      </w:tr>
      <w:tr>
        <w:trPr>
          <w:trHeight w:val="219"/>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24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3"/>
          </w:tcPr>
          <w:p>
            <w:pPr>
              <w:jc w:val="right"/>
              <w:ind w:right="818"/>
              <w:spacing w:after="0"/>
              <w:rPr>
                <w:sz w:val="20"/>
                <w:szCs w:val="20"/>
                <w:color w:val="auto"/>
              </w:rPr>
            </w:pPr>
            <w:r>
              <w:rPr>
                <w:rFonts w:ascii="Times New Roman" w:cs="Times New Roman" w:eastAsia="Times New Roman" w:hAnsi="Times New Roman"/>
                <w:sz w:val="16"/>
                <w:szCs w:val="16"/>
                <w:b w:val="1"/>
                <w:bCs w:val="1"/>
                <w:color w:val="auto"/>
              </w:rPr>
              <w:t>January 30, 2026</w:t>
            </w:r>
          </w:p>
        </w:tc>
        <w:tc>
          <w:tcPr>
            <w:tcW w:w="30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3"/>
          </w:tcPr>
          <w:p>
            <w:pPr>
              <w:jc w:val="right"/>
              <w:ind w:right="798"/>
              <w:spacing w:after="0"/>
              <w:rPr>
                <w:sz w:val="20"/>
                <w:szCs w:val="20"/>
                <w:color w:val="auto"/>
              </w:rPr>
            </w:pPr>
            <w:r>
              <w:rPr>
                <w:rFonts w:ascii="Times New Roman" w:cs="Times New Roman" w:eastAsia="Times New Roman" w:hAnsi="Times New Roman"/>
                <w:sz w:val="16"/>
                <w:szCs w:val="16"/>
                <w:b w:val="1"/>
                <w:bCs w:val="1"/>
                <w:color w:val="auto"/>
              </w:rPr>
              <w:t>January 31, 2025</w:t>
            </w:r>
          </w:p>
        </w:tc>
        <w:tc>
          <w:tcPr>
            <w:tcW w:w="0" w:type="dxa"/>
            <w:vAlign w:val="bottom"/>
          </w:tcPr>
          <w:p>
            <w:pPr>
              <w:spacing w:after="0"/>
              <w:rPr>
                <w:sz w:val="1"/>
                <w:szCs w:val="1"/>
                <w:color w:val="auto"/>
              </w:rPr>
            </w:pPr>
          </w:p>
        </w:tc>
      </w:tr>
      <w:tr>
        <w:trPr>
          <w:trHeight w:val="213"/>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Cost of Sales</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Cost of Sales</w:t>
            </w:r>
          </w:p>
        </w:tc>
        <w:tc>
          <w:tcPr>
            <w:tcW w:w="0" w:type="dxa"/>
            <w:vAlign w:val="bottom"/>
          </w:tcPr>
          <w:p>
            <w:pPr>
              <w:spacing w:after="0"/>
              <w:rPr>
                <w:sz w:val="1"/>
                <w:szCs w:val="1"/>
                <w:color w:val="auto"/>
              </w:rPr>
            </w:pPr>
          </w:p>
        </w:tc>
      </w:tr>
      <w:tr>
        <w:trPr>
          <w:trHeight w:val="153"/>
        </w:trPr>
        <w:tc>
          <w:tcPr>
            <w:tcW w:w="528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6"/>
                <w:szCs w:val="16"/>
                <w:color w:val="auto"/>
              </w:rPr>
              <w:t>Condensed Consolidated Statements of Earnings income (expense) amounts</w:t>
            </w:r>
          </w:p>
        </w:tc>
        <w:tc>
          <w:tcPr>
            <w:tcW w:w="240" w:type="dxa"/>
            <w:vAlign w:val="bottom"/>
            <w:vMerge w:val="restart"/>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1,036.3</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(699.8)</w:t>
            </w:r>
          </w:p>
        </w:tc>
        <w:tc>
          <w:tcPr>
            <w:tcW w:w="300" w:type="dxa"/>
            <w:vAlign w:val="bottom"/>
            <w:vMerge w:val="restart"/>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995.0</w:t>
            </w:r>
          </w:p>
        </w:tc>
        <w:tc>
          <w:tcPr>
            <w:tcW w:w="2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(659.4)</w:t>
            </w:r>
          </w:p>
        </w:tc>
        <w:tc>
          <w:tcPr>
            <w:tcW w:w="0" w:type="dxa"/>
            <w:vAlign w:val="bottom"/>
          </w:tcPr>
          <w:p>
            <w:pPr>
              <w:spacing w:after="0"/>
              <w:rPr>
                <w:sz w:val="1"/>
                <w:szCs w:val="1"/>
                <w:color w:val="auto"/>
              </w:rPr>
            </w:pPr>
          </w:p>
        </w:tc>
      </w:tr>
      <w:tr>
        <w:trPr>
          <w:trHeight w:val="215"/>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 which the effects of cash flow hedging instruments are recorded</w:t>
            </w:r>
          </w:p>
        </w:tc>
        <w:tc>
          <w:tcPr>
            <w:tcW w:w="24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(Loss) gain on derivatives designated as cash flow hedging instruments: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Amount of (loss) gain reclassified from AOCL into earnings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20" w:type="dxa"/>
            <w:vAlign w:val="bottom"/>
          </w:tcPr>
          <w:p>
            <w:pPr>
              <w:spacing w:after="0"/>
              <w:rPr>
                <w:sz w:val="18"/>
                <w:szCs w:val="18"/>
                <w:color w:val="auto"/>
              </w:rPr>
            </w:pPr>
          </w:p>
        </w:tc>
        <w:tc>
          <w:tcPr>
            <w:tcW w:w="12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162"/>
        </w:trPr>
        <w:tc>
          <w:tcPr>
            <w:tcW w:w="5280" w:type="dxa"/>
            <w:vAlign w:val="bottom"/>
            <w:shd w:val="clear" w:color="auto" w:fill="CCEEFF"/>
          </w:tcPr>
          <w:p>
            <w:pPr>
              <w:ind w:left="220"/>
              <w:spacing w:after="0" w:line="162" w:lineRule="exact"/>
              <w:rPr>
                <w:sz w:val="20"/>
                <w:szCs w:val="20"/>
                <w:color w:val="auto"/>
              </w:rPr>
            </w:pPr>
            <w:r>
              <w:rPr>
                <w:rFonts w:ascii="Times New Roman" w:cs="Times New Roman" w:eastAsia="Times New Roman" w:hAnsi="Times New Roman"/>
                <w:sz w:val="16"/>
                <w:szCs w:val="16"/>
                <w:color w:val="auto"/>
              </w:rPr>
              <w:t>Gain on components excluded from effectiveness testing recognized in</w:t>
            </w:r>
          </w:p>
        </w:tc>
        <w:tc>
          <w:tcPr>
            <w:tcW w:w="240" w:type="dxa"/>
            <w:vAlign w:val="bottom"/>
            <w:vMerge w:val="restart"/>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1.1</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0.4</w:t>
            </w:r>
          </w:p>
        </w:tc>
        <w:tc>
          <w:tcPr>
            <w:tcW w:w="300" w:type="dxa"/>
            <w:vAlign w:val="bottom"/>
            <w:vMerge w:val="restart"/>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15"/>
        </w:trPr>
        <w:tc>
          <w:tcPr>
            <w:tcW w:w="52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earnings based on changes in fair value</w:t>
            </w: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following table presents the impact and location of derivative instruments on the Condensed Consolidated Statements of Earnings for the company’s derivatives not designated as cash flow hedging instruments:</w:t>
      </w:r>
    </w:p>
    <w:p>
      <w:pPr>
        <w:spacing w:after="0" w:line="77"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5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46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January 30, 2026</w:t>
            </w:r>
          </w:p>
        </w:tc>
        <w:tc>
          <w:tcPr>
            <w:tcW w:w="2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January 31, 2025</w:t>
            </w:r>
          </w:p>
        </w:tc>
      </w:tr>
      <w:tr>
        <w:trPr>
          <w:trHeight w:val="214"/>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(Loss) gain on derivatives not designated as cash flow hedging instruments</w:t>
            </w:r>
          </w:p>
        </w:tc>
        <w:tc>
          <w:tcPr>
            <w:tcW w:w="14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7"/>
        </w:trPr>
        <w:tc>
          <w:tcPr>
            <w:tcW w:w="6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0"/>
        </w:trPr>
        <w:tc>
          <w:tcPr>
            <w:tcW w:w="65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3"/>
        </w:trPr>
        <w:tc>
          <w:tcPr>
            <w:tcW w:w="6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(loss) gain on derivatives not designated as cash flow hedging instruments</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2"/>
        </w:trPr>
        <w:tc>
          <w:tcPr>
            <w:tcW w:w="65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17 </w:t>
      </w:r>
      <w:r>
        <w:rPr>
          <w:rFonts w:ascii="Times New Roman" w:cs="Times New Roman" w:eastAsia="Times New Roman" w:hAnsi="Times New Roman"/>
          <w:sz w:val="18"/>
          <w:szCs w:val="18"/>
          <w:b w:val="1"/>
          <w:bCs w:val="1"/>
          <w:color w:val="auto"/>
        </w:rPr>
        <w:t>Fair Value Measurements</w:t>
      </w:r>
    </w:p>
    <w:p>
      <w:pPr>
        <w:spacing w:after="0" w:line="12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company categorizes its assets and liabilities into one of three levels based on the assumptions (inputs) used in valuing the asset or liability. Estimates of fair value for financial assets and financial liabilities are based on the framework established in the accounting guidance for fair value measurements. The framework defines fair value, provides guidance for measuring fair value, and requires certain disclosures. The framework discusses valuation techniques such as the market approach (comparable market prices), the income approach (present value of future income or cash flows), and the cost approach (cost to replace the service capacity of an asset or replacement cost). The framework utilizes a fair value hierarchy that prioritizes the inputs to valuation techniques used to measure fair value into three broad levels. Level 1 provides the most reliable measure of fair value, while Level 3 generally requires significant management judgment. The three levels are defined as follows:</w:t>
      </w:r>
    </w:p>
    <w:p>
      <w:pPr>
        <w:spacing w:after="0" w:line="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Level 1</w:t>
      </w:r>
      <w:r>
        <w:rPr>
          <w:rFonts w:ascii="Times New Roman" w:cs="Times New Roman" w:eastAsia="Times New Roman" w:hAnsi="Times New Roman"/>
          <w:sz w:val="17"/>
          <w:szCs w:val="17"/>
          <w:color w:val="auto"/>
        </w:rPr>
        <w:t>: Unadjusted quoted prices in active markets for identical assets or liabilities.</w:t>
      </w:r>
    </w:p>
    <w:p>
      <w:pPr>
        <w:spacing w:after="0" w:line="115" w:lineRule="exact"/>
        <w:rPr>
          <w:sz w:val="20"/>
          <w:szCs w:val="20"/>
          <w:color w:val="auto"/>
        </w:rPr>
      </w:pPr>
    </w:p>
    <w:p>
      <w:pPr>
        <w:jc w:val="both"/>
        <w:ind w:left="620"/>
        <w:spacing w:after="0" w:line="273" w:lineRule="auto"/>
        <w:rPr>
          <w:sz w:val="20"/>
          <w:szCs w:val="20"/>
          <w:color w:val="auto"/>
        </w:rPr>
      </w:pPr>
      <w:r>
        <w:rPr>
          <w:rFonts w:ascii="Times New Roman" w:cs="Times New Roman" w:eastAsia="Times New Roman" w:hAnsi="Times New Roman"/>
          <w:sz w:val="17"/>
          <w:szCs w:val="17"/>
          <w:b w:val="1"/>
          <w:bCs w:val="1"/>
          <w:color w:val="auto"/>
        </w:rPr>
        <w:t>Level 2</w:t>
      </w:r>
      <w:r>
        <w:rPr>
          <w:rFonts w:ascii="Times New Roman" w:cs="Times New Roman" w:eastAsia="Times New Roman" w:hAnsi="Times New Roman"/>
          <w:sz w:val="17"/>
          <w:szCs w:val="17"/>
          <w:color w:val="auto"/>
        </w:rPr>
        <w:t>: Observable inputs other than Level 1 prices, such as quoted prices for similar assets or liabilities in active markets; quoted prices for identical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assets or liabilities in markets that are not active; or other inputs that are observable or can be corroborated by observable market data for substantially the full term of the assets or liabilities.</w:t>
      </w:r>
    </w:p>
    <w:p>
      <w:pPr>
        <w:spacing w:after="0" w:line="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Level 3</w:t>
      </w:r>
      <w:r>
        <w:rPr>
          <w:rFonts w:ascii="Times New Roman" w:cs="Times New Roman" w:eastAsia="Times New Roman" w:hAnsi="Times New Roman"/>
          <w:sz w:val="17"/>
          <w:szCs w:val="17"/>
          <w:color w:val="auto"/>
        </w:rPr>
        <w:t>: Unobservable inputs reflecting management’s assumptions about the inputs used in pricing the asset or liability.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Recurring Fair Value Measurements</w:t>
      </w:r>
    </w:p>
    <w:p>
      <w:pPr>
        <w:spacing w:after="0" w:line="12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company's derivative instruments consist of forward currency contracts that are measured at fair value on a recurring basis. The fair value of such forward currency contracts is determined based on observable market transactions of forward currency prices and spot currency rates as of the reporting date.</w:t>
      </w:r>
    </w:p>
    <w:p>
      <w:pPr>
        <w:spacing w:after="0" w:line="4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The following tables present, by level within the fair value hierarchy, the company's financial assets and liabilities that are measured at fair value on a recurring basis as of January 30, 2026, January 31, 2025, and October 31, 2025, according to the valuation technique utilized to determine their fair values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195580</wp:posOffset>
            </wp:positionV>
            <wp:extent cx="284734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47340" cy="8255"/>
                    </a:xfrm>
                    <a:prstGeom prst="rect">
                      <a:avLst/>
                    </a:prstGeom>
                    <a:noFill/>
                  </pic:spPr>
                </pic:pic>
              </a:graphicData>
            </a:graphic>
          </wp:anchor>
        </w:drawing>
      </w:r>
    </w:p>
    <w:p>
      <w:pPr>
        <w:spacing w:after="0" w:line="288"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6"/>
          <w:szCs w:val="16"/>
          <w:b w:val="1"/>
          <w:bCs w:val="1"/>
          <w:color w:val="auto"/>
        </w:rPr>
        <w:t>Fair Value Measurements Using Inputs Considered as: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6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January 30, 2026</w:t>
            </w:r>
          </w:p>
        </w:tc>
        <w:tc>
          <w:tcPr>
            <w:tcW w:w="18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298"/>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14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8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98"/>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14"/>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8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7"/>
        </w:trPr>
        <w:tc>
          <w:tcPr>
            <w:tcW w:w="36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88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8.6</w:t>
            </w:r>
          </w:p>
        </w:tc>
        <w:tc>
          <w:tcPr>
            <w:tcW w:w="1140" w:type="dxa"/>
            <w:vAlign w:val="bottom"/>
            <w:tcBorders>
              <w:bottom w:val="single" w:sz="8" w:color="auto"/>
            </w:tcBorders>
          </w:tcPr>
          <w:p>
            <w:pPr>
              <w:jc w:val="right"/>
              <w:ind w:right="898"/>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3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3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88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8.6</w:t>
            </w:r>
          </w:p>
        </w:tc>
        <w:tc>
          <w:tcPr>
            <w:tcW w:w="1140" w:type="dxa"/>
            <w:vAlign w:val="bottom"/>
            <w:tcBorders>
              <w:bottom w:val="single" w:sz="8" w:color="auto"/>
            </w:tcBorders>
            <w:shd w:val="clear" w:color="auto" w:fill="CCEEFF"/>
          </w:tcPr>
          <w:p>
            <w:pPr>
              <w:jc w:val="right"/>
              <w:ind w:right="898"/>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3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6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39"/>
        </w:trPr>
        <w:tc>
          <w:tcPr>
            <w:tcW w:w="3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2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8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7"/>
        </w:trPr>
        <w:tc>
          <w:tcPr>
            <w:tcW w:w="36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88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19.9</w:t>
            </w:r>
          </w:p>
        </w:tc>
        <w:tc>
          <w:tcPr>
            <w:tcW w:w="1140" w:type="dxa"/>
            <w:vAlign w:val="bottom"/>
            <w:tcBorders>
              <w:bottom w:val="single" w:sz="8" w:color="auto"/>
            </w:tcBorders>
          </w:tcPr>
          <w:p>
            <w:pPr>
              <w:jc w:val="right"/>
              <w:ind w:right="898"/>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3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3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188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19.9</w:t>
            </w:r>
          </w:p>
        </w:tc>
        <w:tc>
          <w:tcPr>
            <w:tcW w:w="1140" w:type="dxa"/>
            <w:vAlign w:val="bottom"/>
            <w:tcBorders>
              <w:bottom w:val="single" w:sz="8" w:color="auto"/>
            </w:tcBorders>
            <w:shd w:val="clear" w:color="auto" w:fill="CCEEFF"/>
          </w:tcPr>
          <w:p>
            <w:pPr>
              <w:jc w:val="right"/>
              <w:ind w:right="898"/>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3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6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147955</wp:posOffset>
            </wp:positionV>
            <wp:extent cx="28473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47340" cy="8255"/>
                    </a:xfrm>
                    <a:prstGeom prst="rect">
                      <a:avLst/>
                    </a:prstGeom>
                    <a:noFill/>
                  </pic:spPr>
                </pic:pic>
              </a:graphicData>
            </a:graphic>
          </wp:anchor>
        </w:drawing>
      </w:r>
    </w:p>
    <w:p>
      <w:pPr>
        <w:spacing w:after="0" w:line="21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6"/>
          <w:szCs w:val="16"/>
          <w:b w:val="1"/>
          <w:bCs w:val="1"/>
          <w:color w:val="auto"/>
        </w:rPr>
        <w:t>Fair Value Measurements Using Inputs Considered as: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6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January 31, 2025</w:t>
            </w:r>
          </w:p>
        </w:tc>
        <w:tc>
          <w:tcPr>
            <w:tcW w:w="18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298"/>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14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8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98"/>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14"/>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8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7"/>
        </w:trPr>
        <w:tc>
          <w:tcPr>
            <w:tcW w:w="36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88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13.6</w:t>
            </w:r>
          </w:p>
        </w:tc>
        <w:tc>
          <w:tcPr>
            <w:tcW w:w="1140" w:type="dxa"/>
            <w:vAlign w:val="bottom"/>
            <w:tcBorders>
              <w:bottom w:val="single" w:sz="8" w:color="auto"/>
            </w:tcBorders>
          </w:tcPr>
          <w:p>
            <w:pPr>
              <w:jc w:val="right"/>
              <w:ind w:right="898"/>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3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3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88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13.6</w:t>
            </w:r>
          </w:p>
        </w:tc>
        <w:tc>
          <w:tcPr>
            <w:tcW w:w="1140" w:type="dxa"/>
            <w:vAlign w:val="bottom"/>
            <w:tcBorders>
              <w:bottom w:val="single" w:sz="8" w:color="auto"/>
            </w:tcBorders>
            <w:shd w:val="clear" w:color="auto" w:fill="CCEEFF"/>
          </w:tcPr>
          <w:p>
            <w:pPr>
              <w:jc w:val="right"/>
              <w:ind w:right="898"/>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3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6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39"/>
        </w:trPr>
        <w:tc>
          <w:tcPr>
            <w:tcW w:w="3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2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8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7"/>
        </w:trPr>
        <w:tc>
          <w:tcPr>
            <w:tcW w:w="36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88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4.8</w:t>
            </w:r>
          </w:p>
        </w:tc>
        <w:tc>
          <w:tcPr>
            <w:tcW w:w="1140" w:type="dxa"/>
            <w:vAlign w:val="bottom"/>
            <w:tcBorders>
              <w:bottom w:val="single" w:sz="8" w:color="auto"/>
            </w:tcBorders>
          </w:tcPr>
          <w:p>
            <w:pPr>
              <w:jc w:val="right"/>
              <w:ind w:right="898"/>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3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3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188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4.8</w:t>
            </w:r>
          </w:p>
        </w:tc>
        <w:tc>
          <w:tcPr>
            <w:tcW w:w="1140" w:type="dxa"/>
            <w:vAlign w:val="bottom"/>
            <w:tcBorders>
              <w:bottom w:val="single" w:sz="8" w:color="auto"/>
            </w:tcBorders>
            <w:shd w:val="clear" w:color="auto" w:fill="CCEEFF"/>
          </w:tcPr>
          <w:p>
            <w:pPr>
              <w:jc w:val="right"/>
              <w:ind w:right="898"/>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3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6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131445</wp:posOffset>
            </wp:positionV>
            <wp:extent cx="284734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47340" cy="8255"/>
                    </a:xfrm>
                    <a:prstGeom prst="rect">
                      <a:avLst/>
                    </a:prstGeom>
                    <a:noFill/>
                  </pic:spPr>
                </pic:pic>
              </a:graphicData>
            </a:graphic>
          </wp:anchor>
        </w:drawing>
      </w:r>
    </w:p>
    <w:p>
      <w:pPr>
        <w:spacing w:after="0" w:line="18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6"/>
          <w:szCs w:val="16"/>
          <w:b w:val="1"/>
          <w:bCs w:val="1"/>
          <w:color w:val="auto"/>
        </w:rPr>
        <w:t>Fair Value Measurements Using Inputs Considered as: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6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October 31, 2025</w:t>
            </w:r>
          </w:p>
        </w:tc>
        <w:tc>
          <w:tcPr>
            <w:tcW w:w="2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8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98"/>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14"/>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7"/>
        </w:trPr>
        <w:tc>
          <w:tcPr>
            <w:tcW w:w="36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2760" w:type="dxa"/>
            <w:vAlign w:val="bottom"/>
            <w:tcBorders>
              <w:bottom w:val="single" w:sz="8" w:color="auto"/>
            </w:tcBorders>
          </w:tcPr>
          <w:p>
            <w:pPr>
              <w:jc w:val="right"/>
              <w:ind w:right="93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4.1</w:t>
            </w:r>
          </w:p>
        </w:tc>
        <w:tc>
          <w:tcPr>
            <w:tcW w:w="1140" w:type="dxa"/>
            <w:vAlign w:val="bottom"/>
            <w:tcBorders>
              <w:bottom w:val="single" w:sz="8" w:color="auto"/>
            </w:tcBorders>
          </w:tcPr>
          <w:p>
            <w:pPr>
              <w:jc w:val="right"/>
              <w:ind w:right="898"/>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3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3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760" w:type="dxa"/>
            <w:vAlign w:val="bottom"/>
            <w:tcBorders>
              <w:bottom w:val="single" w:sz="8" w:color="auto"/>
            </w:tcBorders>
            <w:shd w:val="clear" w:color="auto" w:fill="CCEEFF"/>
          </w:tcPr>
          <w:p>
            <w:pPr>
              <w:jc w:val="right"/>
              <w:ind w:right="93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4.1</w:t>
            </w:r>
          </w:p>
        </w:tc>
        <w:tc>
          <w:tcPr>
            <w:tcW w:w="1140" w:type="dxa"/>
            <w:vAlign w:val="bottom"/>
            <w:tcBorders>
              <w:bottom w:val="single" w:sz="8" w:color="auto"/>
            </w:tcBorders>
            <w:shd w:val="clear" w:color="auto" w:fill="CCEEFF"/>
          </w:tcPr>
          <w:p>
            <w:pPr>
              <w:jc w:val="right"/>
              <w:ind w:right="898"/>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3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600" w:type="dxa"/>
            <w:vAlign w:val="bottom"/>
            <w:tcBorders>
              <w:top w:val="single" w:sz="8" w:color="CCEEFF"/>
              <w:bottom w:val="single" w:sz="8" w:color="auto"/>
            </w:tcBorders>
          </w:tcPr>
          <w:p>
            <w:pPr>
              <w:spacing w:after="0" w:line="20" w:lineRule="exact"/>
              <w:rPr>
                <w:sz w:val="1"/>
                <w:szCs w:val="1"/>
                <w:color w:val="auto"/>
              </w:rPr>
            </w:pPr>
          </w:p>
        </w:tc>
        <w:tc>
          <w:tcPr>
            <w:tcW w:w="27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39"/>
        </w:trPr>
        <w:tc>
          <w:tcPr>
            <w:tcW w:w="3600" w:type="dxa"/>
            <w:vAlign w:val="bottom"/>
          </w:tcPr>
          <w:p>
            <w:pPr>
              <w:spacing w:after="0"/>
              <w:rPr>
                <w:sz w:val="3"/>
                <w:szCs w:val="3"/>
                <w:color w:val="auto"/>
              </w:rPr>
            </w:pPr>
          </w:p>
        </w:tc>
        <w:tc>
          <w:tcPr>
            <w:tcW w:w="2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2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7"/>
        </w:trPr>
        <w:tc>
          <w:tcPr>
            <w:tcW w:w="36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2760" w:type="dxa"/>
            <w:vAlign w:val="bottom"/>
            <w:tcBorders>
              <w:bottom w:val="single" w:sz="8" w:color="auto"/>
            </w:tcBorders>
          </w:tcPr>
          <w:p>
            <w:pPr>
              <w:jc w:val="right"/>
              <w:ind w:right="93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5.6</w:t>
            </w:r>
          </w:p>
        </w:tc>
        <w:tc>
          <w:tcPr>
            <w:tcW w:w="1140" w:type="dxa"/>
            <w:vAlign w:val="bottom"/>
            <w:tcBorders>
              <w:bottom w:val="single" w:sz="8" w:color="auto"/>
            </w:tcBorders>
          </w:tcPr>
          <w:p>
            <w:pPr>
              <w:jc w:val="right"/>
              <w:ind w:right="898"/>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3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3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760" w:type="dxa"/>
            <w:vAlign w:val="bottom"/>
            <w:tcBorders>
              <w:bottom w:val="single" w:sz="8" w:color="auto"/>
            </w:tcBorders>
            <w:shd w:val="clear" w:color="auto" w:fill="CCEEFF"/>
          </w:tcPr>
          <w:p>
            <w:pPr>
              <w:jc w:val="right"/>
              <w:ind w:right="93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5.6</w:t>
            </w:r>
          </w:p>
        </w:tc>
        <w:tc>
          <w:tcPr>
            <w:tcW w:w="1140" w:type="dxa"/>
            <w:vAlign w:val="bottom"/>
            <w:tcBorders>
              <w:bottom w:val="single" w:sz="8" w:color="auto"/>
            </w:tcBorders>
            <w:shd w:val="clear" w:color="auto" w:fill="CCEEFF"/>
          </w:tcPr>
          <w:p>
            <w:pPr>
              <w:jc w:val="right"/>
              <w:ind w:right="898"/>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3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600" w:type="dxa"/>
            <w:vAlign w:val="bottom"/>
            <w:tcBorders>
              <w:top w:val="single" w:sz="8" w:color="CCEEFF"/>
              <w:bottom w:val="single" w:sz="8" w:color="auto"/>
            </w:tcBorders>
          </w:tcPr>
          <w:p>
            <w:pPr>
              <w:spacing w:after="0" w:line="20" w:lineRule="exact"/>
              <w:rPr>
                <w:sz w:val="1"/>
                <w:szCs w:val="1"/>
                <w:color w:val="auto"/>
              </w:rPr>
            </w:pPr>
          </w:p>
        </w:tc>
        <w:tc>
          <w:tcPr>
            <w:tcW w:w="27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Nonrecurring Fair Value Measurements</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measures certain assets and liabilities at fair value on a non-recurring basis. Assets and liabilities that are measured at fair value on a nonrecurring basis include long-lived assets, goodwill, and indefinite-lived intangible assets, which would generally be recorded at fair value as a result of an impairment charge. Assets acquired and liabilities assumed as part of a business combination are also measured at fair value on a non-recurring basis during the measurement period allowed by the accounting standards codification guidance for business combinations when applicable. Alternatively, under a cost accumulation model, the company measures the fair values of net assets acquired as part of an asset acquisition before allocating the cost of the asset acquisition to the net assets acquired on the basis of their relative fair values.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Fair Value Disclosures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The carrying values of the company's short-term financial instruments, including cash and cash equivalents, accounts receivable, accounts payable, and short-term debt, including current maturities of long-term debt, when applicable, approximate their fair values due to their short-term nature. As of January 30, 2026, January 31, 2025, and October 31, 2025, the company's long-term debt included $724.3 million, $524.2 million, and $724.3 million, respectively, of gross fixed-rate debt that is not subject to variable interest rate fluctuations. The gross fair value of such long-term debt is determined using Level 2 inputs by discounting the projected cash flows based on quoted market rates at which similar amounts of debt could currently be borrowed. As of January 30, 2026, the estimated gross fair value of long-term debt with fixed interest rates was $727.5 million compared to its gross carrying amount of $724.3 million. As of January 31, 2025, the estimated gross fair value of long-term debt with fixed interest rates was $513.3 million compared to its gross carrying amount of $524.2 million. As of October 31, 2025, the estimated gross fair value of long-term debt with fixed interest rates was $733.1 million compared to its gross carrying amount of $724.3 million. For additional information regarding long-term debt with fixed interest rates, refer to Note 6, </w:t>
      </w:r>
      <w:r>
        <w:rPr>
          <w:rFonts w:ascii="Times New Roman" w:cs="Times New Roman" w:eastAsia="Times New Roman" w:hAnsi="Times New Roman"/>
          <w:sz w:val="17"/>
          <w:szCs w:val="17"/>
          <w:i w:val="1"/>
          <w:iCs w:val="1"/>
          <w:color w:val="auto"/>
        </w:rPr>
        <w:t>Indebtedness.</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18 </w:t>
      </w:r>
      <w:r>
        <w:rPr>
          <w:rFonts w:ascii="Times New Roman" w:cs="Times New Roman" w:eastAsia="Times New Roman" w:hAnsi="Times New Roman"/>
          <w:sz w:val="18"/>
          <w:szCs w:val="18"/>
          <w:b w:val="1"/>
          <w:bCs w:val="1"/>
          <w:color w:val="auto"/>
        </w:rPr>
        <w:t>Subsequent Events</w:t>
      </w:r>
    </w:p>
    <w:p>
      <w:pPr>
        <w:spacing w:after="0" w:line="12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company has evaluated all subsequent events and concluded that no subsequent events have occurred that would require recognition in the Condensed Consolidated Financial Statements or disclosure in the Notes to the Condensed Consolidated Financial Statements.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 MANAGEMENT’S DISCUSSION AND ANALYSIS OF FINANCIAL CONDITION AND RESULTS OF OPERATIONS</w:t>
      </w:r>
    </w:p>
    <w:p>
      <w:pPr>
        <w:spacing w:after="0" w:line="11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This Management’s Discussion and Analysis of Financial Condition and Results of Operations ("MD&amp;A") is intended to provide a reader of our Condensed Consolidated Financial Statements with a narrative from the perspective of management on our financial condition, results of operations, liquidity, and certain other factors that may affect our future results. Unless the context indicates otherwise, the terms "company," "TTC," "we," "our," or "us" refer to The Toro Company and its consolidated subsidiaries. This MD&amp;A should be read in conjunction with the MD&amp;A included in Part II, Item 7 of our Annual Report on Form 10-K for the fiscal year ended October 31, 2025. Unless expressly stated otherwise, the comparisons presented in this MD&amp;A refer to the same period in the prior fiscal year. Our MD&amp;A is presented as follows:</w:t>
      </w:r>
    </w:p>
    <w:p>
      <w:pPr>
        <w:spacing w:after="0" w:line="73" w:lineRule="exact"/>
        <w:rPr>
          <w:sz w:val="20"/>
          <w:szCs w:val="20"/>
          <w:color w:val="auto"/>
        </w:rPr>
      </w:pPr>
    </w:p>
    <w:p>
      <w:pPr>
        <w:ind w:left="620" w:hanging="307"/>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Overview</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Results of Operations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Segments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Position</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Non-GAAP Financial Measures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Critical Accounting Policies and Estimates</w:t>
      </w:r>
    </w:p>
    <w:p>
      <w:pPr>
        <w:spacing w:after="0" w:line="9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This discussion contains various "forward-looking statements" within the meaning of the Private Securities Litigation Reform Act of 1995 and we refer readers to the section titled "Cautionary Note Regarding Forward-Looking Statements" located at the beginning of this Quarterly Report on Form 10-Q for more information.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Throughout this MD&amp;A, we have provided financial and liquidity measures that are not calculated or presented in accordance with United States ("U.S.") generally accepted accounting principles ("GAAP") ("non-GAAP financial measures," "adjusted" before specified financial measures, and "non-GAAP liquidity measures"), as information supplemental and in addition to the most directly comparable financial measures presented in this Quarterly Report on Form 10-Q that are calculated and presented in accordance with U.S. GAAP. We believe that these non-GAAP financial measures, when considered in conjunction with our Condensed Consolidated Financial Statements prepared in accordance with U.S. GAAP, provide investors with useful supplemental financial information to better understand our core operational performance and cash flows. These non-GAAP financial measures, however, should not be considered superior to, as a substitute for, or as an alternative to, and should be considered in conjunction with, the most directly comparable U.S. GAAP financial measures. Reconciliations of non-GAAP financial measures to the most directly comparable reported U.S. GAAP financial measures are included in the section titled "Non-GAAP Financial Measures" within this MD&amp;A.</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COMPANY OVERVIEW</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Toro Company is in the business of designing, manufacturing, marketing, and selling professional turf maintenance equipment and services; turf irrigation systems; landscaping equipment and lighting products; snow and ice management products; agricultural irrigation systems; rental, specialty, and underground construction equipment; and residential yard and snow thrower products. Our purpose is to help our customers enrich the beauty, productivity, and sustainability of the land. Sustainability is integrated into our enterprise strategic priorities of accelerating profitable growth, driving productivity and operational excellence, and empowering our people. Our focus on alternative power, smart connected, and autonomous solutions, as well as our continued efforts to address sustainability-focused matters, are disclosed in our most recent Sustainability Report, which is not incorporated by reference into and does not form any part of this report.</w:t>
      </w:r>
    </w:p>
    <w:p>
      <w:pPr>
        <w:spacing w:after="0" w:line="7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sell our products worldwide through a network of distributors, dealers, mass retailers, hardware retailers, equipment rental centers, and home centers, as well as online and direct to end-users. We strive to provide innovative, well-built, and dependable products supported by an extensive service network. A significant portion of our net sales has historically been, and we expect will continue to be, attributable to new and enhanced products. We define new products as those introduced in the current and previous two fiscal years. We classify our operations into two reportable business segments: Professional and Residential. Our remaining activities are presented as "Other" due to their insignificance, as described in greater detail within the section titled "Business Segments" in this MD&amp;A.</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Combinations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Acquisition of Tornado Infrastructure Equipment Ltd. ("Tornado Infrastructure Equipment")</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On December 8, 2025, we completed the acquisition of Tornado Infrastructure Equipment, a publicly held Canadian company and a manufacturer in the hydrovac excavation solutions industry. Tornado Infrastructure Equipment manufactures hydrovac excavation solutions and industrial equipment solutions for the underground construction, power transmission and energy markets and provides innovative product offerings that broaden and strengthen our Professional segment and expands its dealer network.</w:t>
      </w:r>
    </w:p>
    <w:p>
      <w:pPr>
        <w:spacing w:after="0" w:line="6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cash consideration, net of cash acquired, was $210.3 million ("purchase price"). The purchase price was funded with borrowings under its existing revolving credit facility. We believe that the information available as of the closing date provides a reasonable basis for estimating fair values of the assets acquired and liabilities assumed; however, we are continuing to finalize these amounts. Thus, the preliminary measurements of the fair values of the assets acquired and liabilities assumed are subject to change as additional information becomes available and as additional analysis is performed. We expect to finalize the preliminary measurements of fair values as soon as practicable, but no later than one year from the closing date of the acquisition, as required. For additional information regarding the Tornado Infrastructure Equipment acquisition, refer to Note 2, Acquisitions and Divestitures in the Notes to Condensed Consolidated Financial Statements included in Part I. Item 1 of this Quarterly Report on Form 10-Q.</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Tariffs</w:t>
      </w:r>
    </w:p>
    <w:p>
      <w:pPr>
        <w:spacing w:after="0" w:line="11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tariff environment is complex and evolving. Our business has incurred, and expects to continue to incur, additional costs as it relates to tariffs. We have taken and will continue to take action to mitigate inflationary pressures caused by tariffs through a combination of targeted price increases, strategic sourcing adjustments, manufacturing and product portfolio optimization, as well as our ongoing efforts to drive sustainable efficiency gains in our operations and administrative structures.</w:t>
      </w:r>
    </w:p>
    <w:p>
      <w:pPr>
        <w:spacing w:after="0" w:line="27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February 20, 2026, the United States Supreme Court issued a decision invalidating certain tariffs imposed under the International Emergency Economic Powers Act ("IEEPA"). This ruling could result in tariff relief and may allow for the recovery of amounts previously paid. We are currently evaluating the potential effects of this decision on our future financial statements.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AMP Initiative</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the first quarter of fiscal 2024, we launched a significant productivity initiative named AMP, which is a multi-year initiative now on track to achieve at least $125 million of run-rate savings by fiscal 2027, up from the initial program estimate of at least $100 million. The program is driven by sustainable supply-base, design-to-value, route-to-market, and operational efficiency transformation. We expect to reinvest a portion of the savings from this initiative to drive further innovation and growth. As of the first quarter of fiscal 2026, the AMP initiative has delivered cumulative cost savings of $94.3 million and anticipated annualized cost savings of $94.9 million. Refer to the section titled "Non-GAAP Financial Measures" for information about the productivity initiative charges incurred to generate these savings.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Tax</w:t>
      </w:r>
    </w:p>
    <w:p>
      <w:pPr>
        <w:spacing w:after="0" w:line="10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On July 4, 2025, new U.S tax legislation was signed into law (known as the "One Big Beautiful Bill Act" or "OBBB") which makes permanent many of the tax provisions enacted in 2017 as part of the Tax Cuts and Jobs Act that were set to expire at the end of 2025. In addition, the OBBB makes changes to certain U.S. corporate tax provisions, but many are generally not effective until 2026 or later. We continue to evaluate the impact of the legislation on the financial position but do not expect it to have a material impact on our results of operations.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Consolidated net sales for the first quarter of fiscal 2026 were $1,036.3 million, up 4.2 percent compared to $995.0 million in the first quarter of fiscal 2025.</w:t>
      </w:r>
    </w:p>
    <w:p>
      <w:pPr>
        <w:spacing w:after="0" w:line="10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Professional segment net sales for the first quarter of fiscal 2026 were $824.0 million, an increase of 7.2 percent compared to $768.8 million in the first quarter of the prior fiscal year.</w:t>
      </w:r>
    </w:p>
    <w:p>
      <w:pPr>
        <w:spacing w:after="0" w:line="3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Residential segment net sales for the first quarter of fiscal 2026 were $206.0 million, a decrease of 6.8 percent compared to $221.0 million in the first quarter of the prior fiscal year.</w:t>
      </w:r>
    </w:p>
    <w:p>
      <w:pPr>
        <w:spacing w:after="0" w:line="6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Net earnings for the first quarter of fiscal 2026 were $67.9 million, or $0.69 per diluted share, compared to $52.8 million, or $0.52 per diluted share, for the first quarter of fiscal 2025.</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Adjusted net earnings for the first quarter of fiscal 2026 were $72.6 million, or $0.74 per diluted share, compared to $65.9 million, or $0.65 per diluted share, for the first quarter of fiscal 2025.</w:t>
      </w:r>
    </w:p>
    <w:p>
      <w:pPr>
        <w:spacing w:after="0" w:line="4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maintained our tradition of paying quarterly cash dividends and increased our cash dividend for the first quarter of fiscal 2026 by 2.6 percent to $0.39 per share compared to $0.38 per share paid in the first quarter of fiscal 2025. We also repurchased shares of our common stock under our Board authorized stock repurchase program ("stock repurchase program"), thereby reducing our total shares of common stock outstanding. As a result of the combination of quarterly cash dividends and common stock repurchases, we returned $133.2 million of cash to our stockholders during the first three months of fiscal 2026.</w:t>
      </w:r>
    </w:p>
    <w:p>
      <w:pPr>
        <w:spacing w:after="0" w:line="5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Field inventory levels were lower as of the end of the first quarter of fiscal 2026 compared to the end of the first quarter of fiscal 2025, primarily due to decreased balances of snow and ice management, lawn care, and golf and grounds products, partially offset by higher balances of underground construction products.</w:t>
      </w:r>
    </w:p>
    <w:p>
      <w:pPr>
        <w:spacing w:after="0" w:line="6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Our order backlog represents unfulfilled customer orders at a point in time. Our order backlog (including shipments beyond 12 months) was higher as of the end of the first quarter of fiscal 2026 compared to the end of the fourth quarter of fiscal 2025 primarily due to normal seasonal trends for lawn care products.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Sales</w:t>
      </w:r>
    </w:p>
    <w:p>
      <w:pPr>
        <w:spacing w:after="0" w:line="1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Consolidated net sales for the first quarter of fiscal 2026 were $1,036.3 million, up 4.2 percent compared to $995.0 million in the first quarter of fiscal 2025. The increase was primarily driven by net price realization, higher shipments of Professional segment products, and the Tornado Infrastructure Equipment acquisition, partially offset by lower shipments of Residential segment products.</w:t>
      </w:r>
    </w:p>
    <w:p>
      <w:pPr>
        <w:spacing w:after="0" w:line="6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Net sales in international markets decreased by $23.9 million for the first quarter of fiscal 2026. The decrease was primarily driven by lower shipments of Professional segment products.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Changes in foreign currency exchange rates resulted in an increase in our net sales of approximately $4.9 million for the first quarter of fiscal 2026.</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results of operations as a percentage of consolidated net sales:</w:t>
      </w:r>
    </w:p>
    <w:p>
      <w:pPr>
        <w:spacing w:after="0" w:line="144"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400" w:type="dxa"/>
            <w:vAlign w:val="bottom"/>
            <w:tcBorders>
              <w:top w:val="single" w:sz="8" w:color="auto"/>
              <w:bottom w:val="single" w:sz="8" w:color="auto"/>
            </w:tcBorders>
          </w:tcPr>
          <w:p>
            <w:pPr>
              <w:spacing w:after="0"/>
              <w:rPr>
                <w:sz w:val="19"/>
                <w:szCs w:val="19"/>
                <w:color w:val="auto"/>
              </w:rPr>
            </w:pPr>
          </w:p>
        </w:tc>
        <w:tc>
          <w:tcPr>
            <w:tcW w:w="4180" w:type="dxa"/>
            <w:vAlign w:val="bottom"/>
            <w:tcBorders>
              <w:top w:val="single" w:sz="8" w:color="auto"/>
              <w:bottom w:val="single" w:sz="8" w:color="auto"/>
            </w:tcBorders>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January 30, 2026</w:t>
            </w:r>
          </w:p>
        </w:tc>
        <w:tc>
          <w:tcPr>
            <w:tcW w:w="1660" w:type="dxa"/>
            <w:vAlign w:val="bottom"/>
            <w:tcBorders>
              <w:top w:val="single" w:sz="8" w:color="auto"/>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January 31, 2025</w:t>
            </w:r>
          </w:p>
        </w:tc>
      </w:tr>
      <w:tr>
        <w:trPr>
          <w:trHeight w:val="214"/>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41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100.0 %</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17"/>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418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color w:val="auto"/>
              </w:rPr>
              <w:t>(67.5)</w:t>
            </w:r>
          </w:p>
        </w:tc>
        <w:tc>
          <w:tcPr>
            <w:tcW w:w="166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rPr>
              <w:t>(66.3)</w:t>
            </w:r>
          </w:p>
        </w:tc>
      </w:tr>
      <w:tr>
        <w:trPr>
          <w:trHeight w:val="216"/>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w:t>
            </w:r>
          </w:p>
        </w:tc>
        <w:tc>
          <w:tcPr>
            <w:tcW w:w="4180" w:type="dxa"/>
            <w:vAlign w:val="bottom"/>
            <w:shd w:val="clear" w:color="auto" w:fill="CCEEFF"/>
          </w:tcPr>
          <w:p>
            <w:pPr>
              <w:jc w:val="right"/>
              <w:ind w:right="278"/>
              <w:spacing w:after="0"/>
              <w:rPr>
                <w:sz w:val="20"/>
                <w:szCs w:val="20"/>
                <w:color w:val="auto"/>
              </w:rPr>
            </w:pPr>
            <w:r>
              <w:rPr>
                <w:rFonts w:ascii="Times New Roman" w:cs="Times New Roman" w:eastAsia="Times New Roman" w:hAnsi="Times New Roman"/>
                <w:sz w:val="16"/>
                <w:szCs w:val="16"/>
                <w:color w:val="auto"/>
              </w:rPr>
              <w:t>32.5</w:t>
            </w:r>
          </w:p>
        </w:tc>
        <w:tc>
          <w:tcPr>
            <w:tcW w:w="16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33.7</w:t>
            </w:r>
          </w:p>
        </w:tc>
      </w:tr>
      <w:tr>
        <w:trPr>
          <w:trHeight w:val="217"/>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418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color w:val="auto"/>
              </w:rPr>
              <w:t>(24.1)</w:t>
            </w:r>
          </w:p>
        </w:tc>
        <w:tc>
          <w:tcPr>
            <w:tcW w:w="166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rPr>
              <w:t>(25.9)</w:t>
            </w:r>
          </w:p>
        </w:tc>
      </w:tr>
      <w:tr>
        <w:trPr>
          <w:trHeight w:val="216"/>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earnings</w:t>
            </w:r>
          </w:p>
        </w:tc>
        <w:tc>
          <w:tcPr>
            <w:tcW w:w="4180" w:type="dxa"/>
            <w:vAlign w:val="bottom"/>
            <w:shd w:val="clear" w:color="auto" w:fill="CCEEFF"/>
          </w:tcPr>
          <w:p>
            <w:pPr>
              <w:jc w:val="right"/>
              <w:ind w:right="278"/>
              <w:spacing w:after="0"/>
              <w:rPr>
                <w:sz w:val="20"/>
                <w:szCs w:val="20"/>
                <w:color w:val="auto"/>
              </w:rPr>
            </w:pPr>
            <w:r>
              <w:rPr>
                <w:rFonts w:ascii="Times New Roman" w:cs="Times New Roman" w:eastAsia="Times New Roman" w:hAnsi="Times New Roman"/>
                <w:sz w:val="16"/>
                <w:szCs w:val="16"/>
                <w:color w:val="auto"/>
              </w:rPr>
              <w:t>8.4</w:t>
            </w:r>
          </w:p>
        </w:tc>
        <w:tc>
          <w:tcPr>
            <w:tcW w:w="16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7.8</w:t>
            </w:r>
          </w:p>
        </w:tc>
      </w:tr>
      <w:tr>
        <w:trPr>
          <w:trHeight w:val="217"/>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41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auto"/>
              </w:rPr>
              <w:t>(1.4)</w:t>
            </w:r>
          </w:p>
        </w:tc>
        <w:tc>
          <w:tcPr>
            <w:tcW w:w="166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(1.5)</w:t>
            </w:r>
          </w:p>
        </w:tc>
      </w:tr>
      <w:tr>
        <w:trPr>
          <w:trHeight w:val="220"/>
        </w:trPr>
        <w:tc>
          <w:tcPr>
            <w:tcW w:w="5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4180" w:type="dxa"/>
            <w:vAlign w:val="bottom"/>
            <w:tcBorders>
              <w:bottom w:val="single" w:sz="8" w:color="auto"/>
            </w:tcBorders>
            <w:shd w:val="clear" w:color="auto" w:fill="CCEEFF"/>
          </w:tcPr>
          <w:p>
            <w:pPr>
              <w:jc w:val="right"/>
              <w:ind w:right="278"/>
              <w:spacing w:after="0"/>
              <w:rPr>
                <w:sz w:val="20"/>
                <w:szCs w:val="20"/>
                <w:color w:val="auto"/>
              </w:rPr>
            </w:pPr>
            <w:r>
              <w:rPr>
                <w:rFonts w:ascii="Times New Roman" w:cs="Times New Roman" w:eastAsia="Times New Roman" w:hAnsi="Times New Roman"/>
                <w:sz w:val="16"/>
                <w:szCs w:val="16"/>
                <w:color w:val="auto"/>
              </w:rPr>
              <w:t>1.4</w:t>
            </w:r>
          </w:p>
        </w:tc>
        <w:tc>
          <w:tcPr>
            <w:tcW w:w="16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0.3</w:t>
            </w:r>
          </w:p>
        </w:tc>
      </w:tr>
      <w:tr>
        <w:trPr>
          <w:trHeight w:val="213"/>
        </w:trPr>
        <w:tc>
          <w:tcPr>
            <w:tcW w:w="5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418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auto"/>
              </w:rPr>
              <w:t>8.4</w:t>
            </w:r>
          </w:p>
        </w:tc>
        <w:tc>
          <w:tcPr>
            <w:tcW w:w="16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6.6</w:t>
            </w:r>
          </w:p>
        </w:tc>
      </w:tr>
      <w:tr>
        <w:trPr>
          <w:trHeight w:val="220"/>
        </w:trPr>
        <w:tc>
          <w:tcPr>
            <w:tcW w:w="5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4180" w:type="dxa"/>
            <w:vAlign w:val="bottom"/>
            <w:tcBorders>
              <w:bottom w:val="single" w:sz="8" w:color="auto"/>
            </w:tcBorders>
            <w:shd w:val="clear" w:color="auto" w:fill="CCEEFF"/>
          </w:tcPr>
          <w:p>
            <w:pPr>
              <w:jc w:val="right"/>
              <w:ind w:right="238"/>
              <w:spacing w:after="0"/>
              <w:rPr>
                <w:sz w:val="20"/>
                <w:szCs w:val="20"/>
                <w:color w:val="auto"/>
              </w:rPr>
            </w:pPr>
            <w:r>
              <w:rPr>
                <w:rFonts w:ascii="Times New Roman" w:cs="Times New Roman" w:eastAsia="Times New Roman" w:hAnsi="Times New Roman"/>
                <w:sz w:val="16"/>
                <w:szCs w:val="16"/>
                <w:color w:val="auto"/>
              </w:rPr>
              <w:t>(1.8)</w:t>
            </w:r>
          </w:p>
        </w:tc>
        <w:tc>
          <w:tcPr>
            <w:tcW w:w="166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(1.3)</w:t>
            </w:r>
          </w:p>
        </w:tc>
      </w:tr>
      <w:tr>
        <w:trPr>
          <w:trHeight w:val="213"/>
        </w:trPr>
        <w:tc>
          <w:tcPr>
            <w:tcW w:w="5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Net earnings</w:t>
            </w:r>
          </w:p>
        </w:tc>
        <w:tc>
          <w:tcPr>
            <w:tcW w:w="41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6.6 %</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5.3 %</w:t>
            </w:r>
          </w:p>
        </w:tc>
      </w:tr>
      <w:tr>
        <w:trPr>
          <w:trHeight w:val="22"/>
        </w:trPr>
        <w:tc>
          <w:tcPr>
            <w:tcW w:w="5400" w:type="dxa"/>
            <w:vAlign w:val="bottom"/>
            <w:tcBorders>
              <w:bottom w:val="single" w:sz="8" w:color="auto"/>
            </w:tcBorders>
          </w:tcPr>
          <w:p>
            <w:pPr>
              <w:spacing w:after="0" w:line="20" w:lineRule="exact"/>
              <w:rPr>
                <w:sz w:val="1"/>
                <w:szCs w:val="1"/>
                <w:color w:val="auto"/>
              </w:rPr>
            </w:pPr>
          </w:p>
        </w:tc>
        <w:tc>
          <w:tcPr>
            <w:tcW w:w="4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Gross Profit and Gross Margin</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Gross profit for the first quarter of fiscal 2026 was $336.5 million, up 0.3 percent compared to $335.6 million for the first quarter of fiscal 2025. Gross margin was 32.5 percent for the first quarter of fiscal 2026 compared to 33.7 percent for the first quarter of fiscal 2025, a decrease of 120 basis points. The decrease in gross margin for the first quarter comparison was primarily due to higher material and manufacturing costs, partially offset by net price realization and productivity improvements.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Selling, General, and Administrative ("SG&amp;A") Expense</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SG&amp;A expense decreased $8.4 million, or 3.3 percent, for the first quarter of fiscal 2026 compared to the first quarter of fiscal 2025. As a percentage of net sales, SG&amp;A expense decreased 180 basis points for the first quarter of fiscal 2026 compared to the same respective period of fiscal 2025. The decrease in SG&amp;A expense as a percentage of net sales for the first quarter was primarily due to net sales leverage, lower productivity initiative charges, lower corporate expenses, and cost savings measures.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Expense</w:t>
      </w:r>
    </w:p>
    <w:p>
      <w:pPr>
        <w:spacing w:after="0" w:line="11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Interest expense decreased $0.8 million for the first quarter compared to the first quarter of fiscal 2025. The decrease in interest expense was primarily due to lower average interest rates.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Income, Net</w:t>
      </w:r>
    </w:p>
    <w:p>
      <w:pPr>
        <w:spacing w:after="0" w:line="1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Other income, net increased $10.7 million for the first quarter of fiscal 2026 compared to the same respective period of fiscal 2025. The increase in other income, net for the first quarter comparison was primarily due to a gain on a facility sale and the net favorable impact from foreign currency and derivative instruments, partially offset by lower income from our Red Iron joint venture.</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 Provision</w:t>
      </w:r>
    </w:p>
    <w:p>
      <w:pPr>
        <w:spacing w:after="0" w:line="1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effective tax rate for the first quarter of fiscal 2026 was 21.9 percent compared to 20.1 percent in the first quarter of fiscal 2025. The adjusted effective tax rate for the first quarter of fiscal 2026 was 21.5 percent, compared to an adjusted effective tax rate of 20.2 percent in the first quarter of fiscal 2025. The increase in both the reported and adjusted effective tax rate was primarily due to a less favorable geographic mix of earnings.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Earnings</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Net earnings for the first quarter of fiscal 2026 were $67.9 million, or $0.69 per diluted share, compared to $52.8 million, or $0.52 per diluted share, for the same period of fiscal 2025. Adjusted net earnings for the first quarter of fiscal 2026 were $72.6 million, or $0.74 per diluted share, compared to $65.9 million, or $0.65 per diluted share, for the same period of fiscal 2025. The increase in net earnings per diluted share for the first quarter comparison was primarily due to higher Professional segment earnings, partially offset by lower Residential segment earnings.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SEGMENTS</w:t>
      </w:r>
    </w:p>
    <w:p>
      <w:pPr>
        <w:spacing w:after="0" w:line="11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 xml:space="preserve">As more fully described in Note 3, </w:t>
      </w:r>
      <w:r>
        <w:rPr>
          <w:rFonts w:ascii="Times New Roman" w:cs="Times New Roman" w:eastAsia="Times New Roman" w:hAnsi="Times New Roman"/>
          <w:sz w:val="17"/>
          <w:szCs w:val="17"/>
          <w:i w:val="1"/>
          <w:iCs w:val="1"/>
          <w:color w:val="auto"/>
        </w:rPr>
        <w:t>Segment Data</w:t>
      </w:r>
      <w:r>
        <w:rPr>
          <w:rFonts w:ascii="Times New Roman" w:cs="Times New Roman" w:eastAsia="Times New Roman" w:hAnsi="Times New Roman"/>
          <w:sz w:val="17"/>
          <w:szCs w:val="17"/>
          <w:color w:val="auto"/>
        </w:rPr>
        <w:t>, of the Notes to the Condensed Consolidated Financial Statements, we operate in two reportable business segments: Professional and Residential. Segment earnings (loss) before interest and taxes ("EBIT") for our Professional and Residential reportable segments are defined as earnings from operations plus other income, net. Our remaining activities consisting of a wholly-owned domestic distribution company, Red Iron joint venture, certain corporate activities, impairment charges, and the elimination of intersegment revenues and expenses, are presented as "Other" due to their insignificance. Corporate activities include general corporate expenditures, such as finance, human resources, legal, information technology, public relations, business development, and similar activities, productivity initiative charges, and other unallocated corporate assets and liabilities, such as corporate facilities and deferred tax assets and liabilities. The following tables summarize net sales for our reportable business segments and Other activities: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8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3"/>
          </w:tcPr>
          <w:p>
            <w:pPr>
              <w:jc w:val="right"/>
              <w:ind w:right="63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5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540" w:type="dxa"/>
            <w:vAlign w:val="bottom"/>
          </w:tcPr>
          <w:p>
            <w:pPr>
              <w:spacing w:after="0"/>
              <w:rPr>
                <w:sz w:val="13"/>
                <w:szCs w:val="13"/>
                <w:color w:val="auto"/>
              </w:rPr>
            </w:pPr>
          </w:p>
        </w:tc>
        <w:tc>
          <w:tcPr>
            <w:tcW w:w="1320" w:type="dxa"/>
            <w:vAlign w:val="bottom"/>
            <w:vMerge w:val="restart"/>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January 30, 2026</w:t>
            </w:r>
          </w:p>
        </w:tc>
        <w:tc>
          <w:tcPr>
            <w:tcW w:w="180" w:type="dxa"/>
            <w:vAlign w:val="bottom"/>
          </w:tcPr>
          <w:p>
            <w:pPr>
              <w:spacing w:after="0"/>
              <w:rPr>
                <w:sz w:val="13"/>
                <w:szCs w:val="13"/>
                <w:color w:val="auto"/>
              </w:rPr>
            </w:pPr>
          </w:p>
        </w:tc>
        <w:tc>
          <w:tcPr>
            <w:tcW w:w="1320" w:type="dxa"/>
            <w:vAlign w:val="bottom"/>
            <w:vMerge w:val="restart"/>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January 31, 2025</w:t>
            </w:r>
          </w:p>
        </w:tc>
        <w:tc>
          <w:tcPr>
            <w:tcW w:w="220" w:type="dxa"/>
            <w:vAlign w:val="bottom"/>
          </w:tcPr>
          <w:p>
            <w:pPr>
              <w:spacing w:after="0"/>
              <w:rPr>
                <w:sz w:val="13"/>
                <w:szCs w:val="13"/>
                <w:color w:val="auto"/>
              </w:rPr>
            </w:pPr>
          </w:p>
        </w:tc>
        <w:tc>
          <w:tcPr>
            <w:tcW w:w="1340" w:type="dxa"/>
            <w:vAlign w:val="bottom"/>
          </w:tcPr>
          <w:p>
            <w:pPr>
              <w:jc w:val="right"/>
              <w:ind w:right="478"/>
              <w:spacing w:after="0" w:line="155" w:lineRule="exact"/>
              <w:rPr>
                <w:sz w:val="20"/>
                <w:szCs w:val="20"/>
                <w:color w:val="auto"/>
              </w:rPr>
            </w:pPr>
            <w:r>
              <w:rPr>
                <w:rFonts w:ascii="Times New Roman" w:cs="Times New Roman" w:eastAsia="Times New Roman" w:hAnsi="Times New Roman"/>
                <w:sz w:val="16"/>
                <w:szCs w:val="16"/>
                <w:b w:val="1"/>
                <w:bCs w:val="1"/>
                <w:color w:val="auto"/>
              </w:rPr>
              <w:t>Dollar</w:t>
            </w: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Percentage Change</w:t>
            </w:r>
          </w:p>
        </w:tc>
        <w:tc>
          <w:tcPr>
            <w:tcW w:w="0" w:type="dxa"/>
            <w:vAlign w:val="bottom"/>
          </w:tcPr>
          <w:p>
            <w:pPr>
              <w:spacing w:after="0"/>
              <w:rPr>
                <w:sz w:val="1"/>
                <w:szCs w:val="1"/>
                <w:color w:val="auto"/>
              </w:rPr>
            </w:pPr>
          </w:p>
        </w:tc>
      </w:tr>
      <w:tr>
        <w:trPr>
          <w:trHeight w:val="219"/>
        </w:trPr>
        <w:tc>
          <w:tcPr>
            <w:tcW w:w="3800" w:type="dxa"/>
            <w:vAlign w:val="bottom"/>
            <w:tcBorders>
              <w:bottom w:val="single" w:sz="8" w:color="auto"/>
            </w:tcBorders>
            <w:vMerge w:val="continue"/>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Value Change</w:t>
            </w:r>
          </w:p>
        </w:tc>
        <w:tc>
          <w:tcPr>
            <w:tcW w:w="15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768.8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55.2</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7.2 %</w:t>
            </w:r>
          </w:p>
        </w:tc>
        <w:tc>
          <w:tcPr>
            <w:tcW w:w="0" w:type="dxa"/>
            <w:vAlign w:val="bottom"/>
          </w:tcPr>
          <w:p>
            <w:pPr>
              <w:spacing w:after="0"/>
              <w:rPr>
                <w:sz w:val="1"/>
                <w:szCs w:val="1"/>
                <w:color w:val="auto"/>
              </w:rPr>
            </w:pPr>
          </w:p>
        </w:tc>
      </w:tr>
      <w:tr>
        <w:trPr>
          <w:trHeight w:val="217"/>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w:t>
            </w:r>
          </w:p>
        </w:tc>
        <w:tc>
          <w:tcPr>
            <w:tcW w:w="15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206.0</w:t>
            </w:r>
          </w:p>
        </w:tc>
        <w:tc>
          <w:tcPr>
            <w:tcW w:w="180" w:type="dxa"/>
            <w:vAlign w:val="bottom"/>
          </w:tcPr>
          <w:p>
            <w:pPr>
              <w:spacing w:after="0"/>
              <w:rPr>
                <w:sz w:val="18"/>
                <w:szCs w:val="18"/>
                <w:color w:val="auto"/>
              </w:rPr>
            </w:pPr>
          </w:p>
        </w:tc>
        <w:tc>
          <w:tcPr>
            <w:tcW w:w="13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221.0</w:t>
            </w:r>
          </w:p>
        </w:tc>
        <w:tc>
          <w:tcPr>
            <w:tcW w:w="220" w:type="dxa"/>
            <w:vAlign w:val="bottom"/>
          </w:tcPr>
          <w:p>
            <w:pPr>
              <w:spacing w:after="0"/>
              <w:rPr>
                <w:sz w:val="18"/>
                <w:szCs w:val="18"/>
                <w:color w:val="auto"/>
              </w:rPr>
            </w:pPr>
          </w:p>
        </w:tc>
        <w:tc>
          <w:tcPr>
            <w:tcW w:w="13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(15.0)</w:t>
            </w:r>
          </w:p>
        </w:tc>
        <w:tc>
          <w:tcPr>
            <w:tcW w:w="152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20"/>
        </w:trPr>
        <w:tc>
          <w:tcPr>
            <w:tcW w:w="3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5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5.2</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1.1</w:t>
            </w:r>
          </w:p>
        </w:tc>
        <w:tc>
          <w:tcPr>
            <w:tcW w:w="152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21.2</w:t>
            </w:r>
          </w:p>
        </w:tc>
        <w:tc>
          <w:tcPr>
            <w:tcW w:w="0" w:type="dxa"/>
            <w:vAlign w:val="bottom"/>
          </w:tcPr>
          <w:p>
            <w:pPr>
              <w:spacing w:after="0"/>
              <w:rPr>
                <w:sz w:val="1"/>
                <w:szCs w:val="1"/>
                <w:color w:val="auto"/>
              </w:rPr>
            </w:pPr>
          </w:p>
        </w:tc>
      </w:tr>
      <w:tr>
        <w:trPr>
          <w:trHeight w:val="213"/>
        </w:trPr>
        <w:tc>
          <w:tcPr>
            <w:tcW w:w="3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Total net sales*</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1,036.3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995.0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rPr>
              <w:t>41.3</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0" w:type="dxa"/>
            <w:vAlign w:val="bottom"/>
          </w:tcPr>
          <w:p>
            <w:pPr>
              <w:spacing w:after="0"/>
              <w:rPr>
                <w:sz w:val="1"/>
                <w:szCs w:val="1"/>
                <w:color w:val="auto"/>
              </w:rPr>
            </w:pPr>
          </w:p>
        </w:tc>
      </w:tr>
      <w:tr>
        <w:trPr>
          <w:trHeight w:val="84"/>
        </w:trPr>
        <w:tc>
          <w:tcPr>
            <w:tcW w:w="380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3800" w:type="dxa"/>
            <w:vAlign w:val="bottom"/>
            <w:tcBorders>
              <w:top w:val="single" w:sz="8" w:color="CCEEFF"/>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*Includes international net sales of:</w:t>
            </w:r>
          </w:p>
        </w:tc>
        <w:tc>
          <w:tcPr>
            <w:tcW w:w="154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187.5</w:t>
            </w:r>
          </w:p>
        </w:tc>
        <w:tc>
          <w:tcPr>
            <w:tcW w:w="18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CCEEFF"/>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211.4</w:t>
            </w:r>
          </w:p>
        </w:tc>
        <w:tc>
          <w:tcPr>
            <w:tcW w:w="22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top w:val="single" w:sz="8" w:color="CCEEFF"/>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(23.9)</w:t>
            </w:r>
          </w:p>
        </w:tc>
        <w:tc>
          <w:tcPr>
            <w:tcW w:w="152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summarize EBIT (Loss) for our reportable business segments and Other activities: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5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4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940" w:type="dxa"/>
            <w:vAlign w:val="bottom"/>
          </w:tcPr>
          <w:p>
            <w:pPr>
              <w:spacing w:after="0"/>
              <w:rPr>
                <w:sz w:val="13"/>
                <w:szCs w:val="13"/>
                <w:color w:val="auto"/>
              </w:rPr>
            </w:pPr>
          </w:p>
        </w:tc>
        <w:tc>
          <w:tcPr>
            <w:tcW w:w="1340" w:type="dxa"/>
            <w:vAlign w:val="bottom"/>
            <w:vMerge w:val="restart"/>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January 30, 2026</w:t>
            </w:r>
          </w:p>
        </w:tc>
        <w:tc>
          <w:tcPr>
            <w:tcW w:w="160" w:type="dxa"/>
            <w:vAlign w:val="bottom"/>
          </w:tcPr>
          <w:p>
            <w:pPr>
              <w:spacing w:after="0"/>
              <w:rPr>
                <w:sz w:val="13"/>
                <w:szCs w:val="13"/>
                <w:color w:val="auto"/>
              </w:rPr>
            </w:pPr>
          </w:p>
        </w:tc>
        <w:tc>
          <w:tcPr>
            <w:tcW w:w="1340" w:type="dxa"/>
            <w:vAlign w:val="bottom"/>
            <w:vMerge w:val="restart"/>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January 31, 2025</w:t>
            </w:r>
          </w:p>
        </w:tc>
        <w:tc>
          <w:tcPr>
            <w:tcW w:w="200" w:type="dxa"/>
            <w:vAlign w:val="bottom"/>
          </w:tcPr>
          <w:p>
            <w:pPr>
              <w:spacing w:after="0"/>
              <w:rPr>
                <w:sz w:val="13"/>
                <w:szCs w:val="13"/>
                <w:color w:val="auto"/>
              </w:rPr>
            </w:pPr>
          </w:p>
        </w:tc>
        <w:tc>
          <w:tcPr>
            <w:tcW w:w="1340" w:type="dxa"/>
            <w:vAlign w:val="bottom"/>
          </w:tcPr>
          <w:p>
            <w:pPr>
              <w:ind w:left="320"/>
              <w:spacing w:after="0" w:line="155" w:lineRule="exact"/>
              <w:rPr>
                <w:sz w:val="20"/>
                <w:szCs w:val="20"/>
                <w:color w:val="auto"/>
              </w:rPr>
            </w:pPr>
            <w:r>
              <w:rPr>
                <w:rFonts w:ascii="Times New Roman" w:cs="Times New Roman" w:eastAsia="Times New Roman" w:hAnsi="Times New Roman"/>
                <w:sz w:val="16"/>
                <w:szCs w:val="16"/>
                <w:b w:val="1"/>
                <w:bCs w:val="1"/>
                <w:color w:val="auto"/>
              </w:rPr>
              <w:t>Dollar</w:t>
            </w: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Percentage Change</w:t>
            </w:r>
          </w:p>
        </w:tc>
        <w:tc>
          <w:tcPr>
            <w:tcW w:w="0" w:type="dxa"/>
            <w:vAlign w:val="bottom"/>
          </w:tcPr>
          <w:p>
            <w:pPr>
              <w:spacing w:after="0"/>
              <w:rPr>
                <w:sz w:val="1"/>
                <w:szCs w:val="1"/>
                <w:color w:val="auto"/>
              </w:rPr>
            </w:pPr>
          </w:p>
        </w:tc>
      </w:tr>
      <w:tr>
        <w:trPr>
          <w:trHeight w:val="219"/>
        </w:trPr>
        <w:tc>
          <w:tcPr>
            <w:tcW w:w="3400" w:type="dxa"/>
            <w:vAlign w:val="bottom"/>
            <w:tcBorders>
              <w:bottom w:val="single" w:sz="8" w:color="auto"/>
            </w:tcBorders>
            <w:vMerge w:val="continue"/>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Value Change</w:t>
            </w:r>
          </w:p>
        </w:tc>
        <w:tc>
          <w:tcPr>
            <w:tcW w:w="15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137.6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127.2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10.4</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0" w:type="dxa"/>
            <w:vAlign w:val="bottom"/>
          </w:tcPr>
          <w:p>
            <w:pPr>
              <w:spacing w:after="0"/>
              <w:rPr>
                <w:sz w:val="1"/>
                <w:szCs w:val="1"/>
                <w:color w:val="auto"/>
              </w:rPr>
            </w:pPr>
          </w:p>
        </w:tc>
      </w:tr>
      <w:tr>
        <w:trPr>
          <w:trHeight w:val="217"/>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w:t>
            </w:r>
          </w:p>
        </w:tc>
        <w:tc>
          <w:tcPr>
            <w:tcW w:w="1940" w:type="dxa"/>
            <w:vAlign w:val="bottom"/>
          </w:tcPr>
          <w:p>
            <w:pPr>
              <w:spacing w:after="0"/>
              <w:rPr>
                <w:sz w:val="18"/>
                <w:szCs w:val="18"/>
                <w:color w:val="auto"/>
              </w:rPr>
            </w:pPr>
          </w:p>
        </w:tc>
        <w:tc>
          <w:tcPr>
            <w:tcW w:w="13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13.2</w:t>
            </w:r>
          </w:p>
        </w:tc>
        <w:tc>
          <w:tcPr>
            <w:tcW w:w="160" w:type="dxa"/>
            <w:vAlign w:val="bottom"/>
          </w:tcPr>
          <w:p>
            <w:pPr>
              <w:spacing w:after="0"/>
              <w:rPr>
                <w:sz w:val="18"/>
                <w:szCs w:val="18"/>
                <w:color w:val="auto"/>
              </w:rPr>
            </w:pPr>
          </w:p>
        </w:tc>
        <w:tc>
          <w:tcPr>
            <w:tcW w:w="13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17.2</w:t>
            </w:r>
          </w:p>
        </w:tc>
        <w:tc>
          <w:tcPr>
            <w:tcW w:w="200" w:type="dxa"/>
            <w:vAlign w:val="bottom"/>
          </w:tcPr>
          <w:p>
            <w:pPr>
              <w:spacing w:after="0"/>
              <w:rPr>
                <w:sz w:val="18"/>
                <w:szCs w:val="18"/>
                <w:color w:val="auto"/>
              </w:rPr>
            </w:pPr>
          </w:p>
        </w:tc>
        <w:tc>
          <w:tcPr>
            <w:tcW w:w="134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(4.0)</w:t>
            </w:r>
          </w:p>
        </w:tc>
        <w:tc>
          <w:tcPr>
            <w:tcW w:w="152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(23.3)</w:t>
            </w:r>
          </w:p>
        </w:tc>
        <w:tc>
          <w:tcPr>
            <w:tcW w:w="0" w:type="dxa"/>
            <w:vAlign w:val="bottom"/>
          </w:tcPr>
          <w:p>
            <w:pPr>
              <w:spacing w:after="0"/>
              <w:rPr>
                <w:sz w:val="1"/>
                <w:szCs w:val="1"/>
                <w:color w:val="auto"/>
              </w:rPr>
            </w:pPr>
          </w:p>
        </w:tc>
      </w:tr>
      <w:tr>
        <w:trPr>
          <w:trHeight w:val="220"/>
        </w:trPr>
        <w:tc>
          <w:tcPr>
            <w:tcW w:w="3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9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13.6</w:t>
            </w:r>
          </w:p>
        </w:tc>
        <w:tc>
          <w:tcPr>
            <w:tcW w:w="152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21.5</w:t>
            </w:r>
          </w:p>
        </w:tc>
        <w:tc>
          <w:tcPr>
            <w:tcW w:w="0" w:type="dxa"/>
            <w:vAlign w:val="bottom"/>
          </w:tcPr>
          <w:p>
            <w:pPr>
              <w:spacing w:after="0"/>
              <w:rPr>
                <w:sz w:val="1"/>
                <w:szCs w:val="1"/>
                <w:color w:val="auto"/>
              </w:rPr>
            </w:pPr>
          </w:p>
        </w:tc>
      </w:tr>
      <w:tr>
        <w:trPr>
          <w:trHeight w:val="216"/>
        </w:trPr>
        <w:tc>
          <w:tcPr>
            <w:tcW w:w="3400" w:type="dxa"/>
            <w:vAlign w:val="bottom"/>
            <w:tcBorders>
              <w:bottom w:val="single" w:sz="8" w:color="auto"/>
            </w:tcBorders>
          </w:tcPr>
          <w:p>
            <w:pPr>
              <w:ind w:left="140"/>
              <w:spacing w:after="0" w:line="216" w:lineRule="exact"/>
              <w:rPr>
                <w:sz w:val="20"/>
                <w:szCs w:val="20"/>
                <w:color w:val="auto"/>
              </w:rPr>
            </w:pPr>
            <w:r>
              <w:rPr>
                <w:rFonts w:ascii="Times New Roman" w:cs="Times New Roman" w:eastAsia="Times New Roman" w:hAnsi="Times New Roman"/>
                <w:sz w:val="16"/>
                <w:szCs w:val="16"/>
                <w:color w:val="auto"/>
              </w:rPr>
              <w:t>Total segment EBIT</w:t>
            </w:r>
            <w:r>
              <w:rPr>
                <w:rFonts w:ascii="Times New Roman" w:cs="Times New Roman" w:eastAsia="Times New Roman" w:hAnsi="Times New Roman"/>
                <w:sz w:val="21"/>
                <w:szCs w:val="21"/>
                <w:color w:val="auto"/>
                <w:vertAlign w:val="superscript"/>
              </w:rPr>
              <w:t>1</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101.1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81.1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6"/>
                <w:szCs w:val="16"/>
                <w:color w:val="auto"/>
              </w:rPr>
              <w:t>20.0</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24.7 %</w:t>
            </w:r>
          </w:p>
        </w:tc>
        <w:tc>
          <w:tcPr>
            <w:tcW w:w="0" w:type="dxa"/>
            <w:vAlign w:val="bottom"/>
          </w:tcPr>
          <w:p>
            <w:pPr>
              <w:spacing w:after="0"/>
              <w:rPr>
                <w:sz w:val="1"/>
                <w:szCs w:val="1"/>
                <w:color w:val="auto"/>
              </w:rPr>
            </w:pPr>
          </w:p>
        </w:tc>
      </w:tr>
      <w:tr>
        <w:trPr>
          <w:trHeight w:val="20"/>
        </w:trPr>
        <w:tc>
          <w:tcPr>
            <w:tcW w:w="34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80" w:hanging="77"/>
        <w:spacing w:after="0"/>
        <w:tabs>
          <w:tab w:leader="none" w:pos="80"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Presentation of EBIT (Loss) for the first quarter of fiscal 2025 has been conformed to the current year presentation.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Professional Segment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Net Sales</w:t>
      </w:r>
    </w:p>
    <w:p>
      <w:pPr>
        <w:spacing w:after="0" w:line="1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Worldwide net sales for our Professional segment for the first quarter of fiscal 2026 increased 7.2 percent compared to the first quarter of fiscal 2025. This increase was driven primarily by net price realization, higher shipments of snow and ice management and underground construction products, in addition to the Tornado acquisition.</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EBIT</w:t>
      </w:r>
    </w:p>
    <w:p>
      <w:pPr>
        <w:spacing w:after="0" w:line="1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Professional segment EBIT for the first quarter of fiscal 2026 increased 8.2 percent compared to the first quarter of fiscal 2025, and Professional segment EBIT margin increased to 16.7 percent from 16.5 percent in the first quarter of fiscal 2025. The increase in Professional segment EBIT margin was primarily due to net price realization and productivity improvements, partially offset by higher material and manufacturing costs.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Residential Segment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Net Sales</w:t>
      </w:r>
    </w:p>
    <w:p>
      <w:pPr>
        <w:spacing w:after="0" w:line="1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Worldwide net sales for our Residential segment for the first quarter of fiscal 2026 decreased 6.8 percent compared to the first quarter of fiscal 2025. The decrease in Residential segment net sales was primarily driven by lower shipments of lawn care products, partially offset by higher shipments of snow and ice management products and net price realization.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EBIT</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Residential segment EBIT for the first quarter of fiscal 2026 decreased 23.3 percent compared to the first quarter of fiscal 2025, and Residential segment EBIT margin decreased to 6.4 percent from 7.8 percent in the first quarter of fiscal 2025. The decrease in Residential segment EBIT margin for the first quarter of fiscal 2026 was primarily due to higher materials costs and lower net sales volume, partially offset by net price realization, productivity improvements, product mix, and cost savings measures.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Activities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Net Sales</w:t>
      </w:r>
    </w:p>
    <w:p>
      <w:pPr>
        <w:spacing w:after="0" w:line="1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Net sales for our Other activities includes sales from our wholly-owned domestic distribution company net of intersegment sales from the Professional and Residential segments to the distribution company. Net sales for our Other activities in the first quarter of fiscal 2026 increased by $1.1 million compared to the first quarter of fiscal 2025.</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EBIT (loss)</w:t>
      </w:r>
    </w:p>
    <w:p>
      <w:pPr>
        <w:spacing w:after="0" w:line="12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loss before interest and taxes for our Other activities for the first quarter of fiscal 2026 decreased $13.6 million compared to the first quarter of fiscal 2025, primarily due to lower productivity initiative charges and lower corporate expenses.</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POSITION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Working Capital</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ongoing goal is to maintain requisite inventory levels to meet our anticipated production requirements, avoid manufacturing delays, and meet the demand for our products, as well as working to ensure service parts availability for our customers. Accounts receivable as of the end of the first quarter of fiscal 2026 decreased $8.2 million, or 1.7 percent, compared to the end of the first quarter of fiscal 2025, primarily driven by timing of shipments. Inventory levels were down $159.4 million, or 13.9 percent, as of the first quarter of fiscal 2026 compared to the first quarter of fiscal 2025, primarily driven by lower levels of finished goods due to increased snow and ice management product shipments, partially offset by increased inventory from the Tornado acquisition. Accounts payable decreased $10.1 million, or 2.3 percent, as of the end of the first quarter of fiscal 2026 compared to the end of the first quarter of fiscal 2025, primarily due to lower purchases.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Flows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Operating Activities</w:t>
      </w:r>
    </w:p>
    <w:p>
      <w:pPr>
        <w:spacing w:after="0" w:line="12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Net cash provided by operating activities for the first three months of fiscal 2026 was $26.1 million compared to net cash used in operating activities of $48.6 million for the first three months of fiscal 2025. This change was primarily due to net favorable fluctuations in working capital and higher net earnings.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Investing Activities</w:t>
      </w:r>
    </w:p>
    <w:p>
      <w:pPr>
        <w:spacing w:after="0" w:line="12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Net cash used in investing activities for the first three months of fiscal 2026 was $210.4 million compared to $19.1 million for the first three months of fiscal 2025. This change was primarily due to the Tornado Infrastructure Equipment acquisition in the current year period.</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Financing Activities</w:t>
      </w:r>
    </w:p>
    <w:p>
      <w:pPr>
        <w:spacing w:after="0" w:line="12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Net cash used in financing activities for the first three months of fiscal 2026 was $25.1 million compared to $44.6 million for the first three months of fiscal 2025, primarily due to net lower debt borrowings, partially offset by higher proceeds from the exercise of stock options and lower common stock repurchases.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As of January 30, 2026, we had available liquidity of $936.9 million, consisting of cash and cash equivalents of $189.0 million, of which $157.3 million was held by our foreign subsidiaries, and availability under our revolving credit facility of $747.9 million. We believe our current liquidity position, including the funds available through existing, and potential future, financing arrangements and forecasted cash flows from operations will be sufficient to provide the necessary capital resources for our anticipated working capital needs, payroll, and other administrative costs, capital expenditures, lease payments, purchase commitments, contractual obligations, acquisitions, investments, establishment of new facilities, expansion and renovation of existing facilities, financing receivables from customers that are not financed with Red Iron or other third-party financial institutions, contingent consideration payments, debt repayments, interest payments, quarterly cash dividend payments, and common stock repurchases, all as applicable, for at least the next twelve months.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Indebtedness</w:t>
      </w:r>
    </w:p>
    <w:p>
      <w:pPr>
        <w:spacing w:after="0" w:line="12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Our debt arrangements are described in further detail in our Annual Report on Form 10-K for the fiscal year ended October 31, 2025. The following is a summary of our indebtedness: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7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54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January 30, 2026</w:t>
            </w:r>
          </w:p>
        </w:tc>
        <w:tc>
          <w:tcPr>
            <w:tcW w:w="24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January 31, 2025</w:t>
            </w:r>
          </w:p>
        </w:tc>
        <w:tc>
          <w:tcPr>
            <w:tcW w:w="22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October 31, 2025</w:t>
            </w:r>
          </w:p>
        </w:tc>
      </w:tr>
      <w:tr>
        <w:trPr>
          <w:trHeight w:val="214"/>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Revolving credit facility, due October 2029</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185.0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Term loan, due October 2029</w:t>
            </w:r>
          </w:p>
        </w:tc>
        <w:tc>
          <w:tcPr>
            <w:tcW w:w="15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240" w:type="dxa"/>
            <w:vAlign w:val="bottom"/>
          </w:tcPr>
          <w:p>
            <w:pPr>
              <w:spacing w:after="0"/>
              <w:rPr>
                <w:sz w:val="18"/>
                <w:szCs w:val="18"/>
                <w:color w:val="auto"/>
              </w:rPr>
            </w:pPr>
          </w:p>
        </w:tc>
        <w:tc>
          <w:tcPr>
            <w:tcW w:w="15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200.0</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 due April 2027</w:t>
            </w:r>
          </w:p>
        </w:tc>
        <w:tc>
          <w:tcPr>
            <w:tcW w:w="15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200.0</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3.81% series A senior notes, due June 2029</w:t>
            </w:r>
          </w:p>
        </w:tc>
        <w:tc>
          <w:tcPr>
            <w:tcW w:w="15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tcPr>
          <w:p>
            <w:pPr>
              <w:spacing w:after="0"/>
              <w:rPr>
                <w:sz w:val="18"/>
                <w:szCs w:val="18"/>
                <w:color w:val="auto"/>
              </w:rPr>
            </w:pPr>
          </w:p>
        </w:tc>
        <w:tc>
          <w:tcPr>
            <w:tcW w:w="15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3.91% series B senior notes, due June 2031</w:t>
            </w:r>
          </w:p>
        </w:tc>
        <w:tc>
          <w:tcPr>
            <w:tcW w:w="15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17"/>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3.97% senior notes, due June 2032</w:t>
            </w:r>
          </w:p>
        </w:tc>
        <w:tc>
          <w:tcPr>
            <w:tcW w:w="15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tcPr>
          <w:p>
            <w:pPr>
              <w:spacing w:after="0"/>
              <w:rPr>
                <w:sz w:val="18"/>
                <w:szCs w:val="18"/>
                <w:color w:val="auto"/>
              </w:rPr>
            </w:pPr>
          </w:p>
        </w:tc>
        <w:tc>
          <w:tcPr>
            <w:tcW w:w="15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5.27% senior notes, due September 2032</w:t>
            </w:r>
          </w:p>
        </w:tc>
        <w:tc>
          <w:tcPr>
            <w:tcW w:w="15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r>
      <w:tr>
        <w:trPr>
          <w:trHeight w:val="217"/>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7.8% debentures, due June 2027</w:t>
            </w:r>
          </w:p>
        </w:tc>
        <w:tc>
          <w:tcPr>
            <w:tcW w:w="15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tcPr>
          <w:p>
            <w:pPr>
              <w:spacing w:after="0"/>
              <w:rPr>
                <w:sz w:val="18"/>
                <w:szCs w:val="18"/>
                <w:color w:val="auto"/>
              </w:rPr>
            </w:pPr>
          </w:p>
        </w:tc>
        <w:tc>
          <w:tcPr>
            <w:tcW w:w="15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6.625% senior notes, due May 2037</w:t>
            </w:r>
          </w:p>
        </w:tc>
        <w:tc>
          <w:tcPr>
            <w:tcW w:w="15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124.2</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w:t>
            </w:r>
          </w:p>
        </w:tc>
      </w:tr>
      <w:tr>
        <w:trPr>
          <w:trHeight w:val="217"/>
        </w:trPr>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Less: unamortized debt issuance costs</w:t>
            </w:r>
          </w:p>
        </w:tc>
        <w:tc>
          <w:tcPr>
            <w:tcW w:w="15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2.3</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6"/>
        </w:trPr>
        <w:tc>
          <w:tcPr>
            <w:tcW w:w="4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debt</w:t>
            </w:r>
          </w:p>
        </w:tc>
        <w:tc>
          <w:tcPr>
            <w:tcW w:w="15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1,071.7</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1,106.9</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921.5</w:t>
            </w:r>
          </w:p>
        </w:tc>
      </w:tr>
      <w:tr>
        <w:trPr>
          <w:trHeight w:val="217"/>
        </w:trPr>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Less: current maturities and short-term borrowings</w:t>
            </w:r>
          </w:p>
        </w:tc>
        <w:tc>
          <w:tcPr>
            <w:tcW w:w="15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15.0</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4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less current portion</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1,091.9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921.5</w:t>
            </w:r>
          </w:p>
        </w:tc>
      </w:tr>
      <w:tr>
        <w:trPr>
          <w:trHeight w:val="20"/>
        </w:trPr>
        <w:tc>
          <w:tcPr>
            <w:tcW w:w="47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From time to time, we may seek to refinance existing debt and incur additional indebtedness depending on our capital requirements and the availability and cost of financing.</w:t>
      </w:r>
    </w:p>
    <w:p>
      <w:pPr>
        <w:spacing w:after="0" w:line="4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As of January 30, 2026, we had $150.0 million outstanding borrowings under our revolving credit facility and $2.1 million outstanding under the sublimit for standby letters of credit, which resulted in $747.9 million of unutilized availability under our revolving credit facility's $900 million borrowing capacity.</w:t>
      </w:r>
    </w:p>
    <w:p>
      <w:pPr>
        <w:spacing w:after="0" w:line="4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We are in compliance with our debt covenants and other requirements of our revolving credit facility and term loan credit agreements, indentures, and private placement note purchase agreements.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Dividends</w:t>
      </w:r>
    </w:p>
    <w:p>
      <w:pPr>
        <w:spacing w:after="0" w:line="1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Board of Directors approved a cash dividend of $0.39 per share for the first quarter of fiscal 2026 that was paid on January 12, 2026. This was an increase of 2.6 percent over our cash dividend of $0.38 per share for the first quarter of fiscal 2025. We expect to continue paying our quarterly cash dividend to stockholders for the remainder of fiscal 2026.</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Stock Repurchases</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During the first three months of fiscal 2026, we repurchased 1,131,652 shares of our common stock under our stock repurchase program, thereby reducing our total shares of common stock outstanding. As of January 30, 2026, 9,260,138 shares of common stock remained available for repurchase under our stock repurchase program. We expect to continue to repurchase shares of our common stock throughout the remainder of fiscal 2026, depending on our cash balance, debt repayments, market conditions, our anticipated working capital needs, the price of our common stock, investment priorities, and/or other factors.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Customer Financing Arrangements</w:t>
      </w:r>
    </w:p>
    <w:p>
      <w:pPr>
        <w:spacing w:after="0" w:line="11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Our customer financing arrangements are described in further detail in our Annual Report on Form 10-K for the fiscal year ended October 31, 2025. There have been no material changes to our customer financing arrangements during the first three months of fiscal 2026.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Inventory Financing</w:t>
      </w:r>
    </w:p>
    <w:p>
      <w:pPr>
        <w:spacing w:after="0" w:line="11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We are party to inventory financing arrangements with Red Iron, HCFC, and other third-party financial institutions which provide inventory financing to certain dealers and distributors of certain of our products in the U.S. and internationally.</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net amount of receivables financed for dealers and distributors under the arrangement with Red Iron for the three month periods ended January 30, 2026 and January 31, 2025 were $546.8 million and $552.9 million, respectively. The total amount of net receivables outstanding under the arrangement with Red Iron as of January 30, 2026, January 31, 2025 and October 31, 2025 were $797.4 million, $960.5 million and $807.6 million, respectively. The total amount of receivables due from Red Iron to us as of January 30, 2026, January 31, 2025 and October 31, 2025 were $22.6 million, $31.6 million and $21.6 million, respectively.</w:t>
      </w:r>
    </w:p>
    <w:p>
      <w:pPr>
        <w:spacing w:after="0" w:line="6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net amount of receivables financed for dealers and distributors under the arrangements with HCFC and the other third-party financial institutions for the three month periods ended January 30, 2026 and January 31, 2025 were $147.4 million and $148.9 million, respectively. The total amount of net receivables outstanding under the arrangements with HCFC and the other third-party financial institutions as of January 30, 2026, January 31, 2025, and October 31, 2025 were $283.0 million, $266.5 million, and $308.3 million, respectively.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Inventory Repurchase Agreements</w:t>
      </w:r>
    </w:p>
    <w:p>
      <w:pPr>
        <w:spacing w:after="0" w:line="11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We have entered into a limited inventory repurchase agreement with Red Iron and HCFC under which we have agreed to repurchase certain repossessed products, up to a maximum aggregate amount of $7.5 million in a calendar year.</w:t>
      </w:r>
    </w:p>
    <w:p>
      <w:pPr>
        <w:spacing w:after="0" w:line="4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Additionally, as a result of our financing agreements with the other third-party financial institutions, we have also entered into inventory repurchase agreements with the other third-party financial institutions. Under such inventory repurchase agreements, we have agreed to repurchase products repossessed by the other third-party financial institutions. As of January 30, 2026, January 31, 2025, and October 31, 2025, we were contingently liable to repurchase up to a maximum amount of $27.5 million, $28.1 million, and $29.0 million, respectively, of inventory related to receivables under these inventory repurchase agreements.</w:t>
      </w:r>
    </w:p>
    <w:p>
      <w:pPr>
        <w:spacing w:after="0" w:line="6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Our financial exposure under these inventory repurchase agreements is limited to the difference between the amount paid to Red Iron, HCFC or other third-party financing institutions for repurchases of inventory and the amount received upon subsequent resale of the repossessed product. We have repurchased immaterial amounts of inventory pursuant to such arrangements for the three months ended January 30, 2026 and January 31, 2025. However, a decline in retail sales or financial difficulties of our distributors or dealers could cause this situation to change and thereby require us to repurchase financed product, which could have an adverse effect on our results of operations, financial position, or cash flows.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have provided in this Quarterly Report on Form 10-Q certain non-GAAP financial measures, which are not calculated or presented in accordance with U.S. GAAP, as information supplemental and in addition to the most directly comparable financial measures that are calculated and presented in accordance with U.S. GAAP. We use these non-GAAP financial measures in making operating decisions and assessing liquidity because we believe they provide meaningful supplemental information regarding our core operational performance and cash flows, as a measure of our liquidity, and provide us with a better understanding of how to allocate resources to both ongoing and prospective business initiatives. Additionally, these non-GAAP financial measures facilitate our internal comparisons to both our historical operating results and to our competitors' operating results by factoring out potential differences caused by charges and benefits not related to our regular, ongoing business, including, without limitation, certain non-cash, large, and/or unpredictable charges and benefits; acquisitions and dispositions; legal judgments, settlements, or other matters; and tax positions. We believe that these non-GAAP financial measures, when considered in conjunction with our Condensed Consolidated Financial Statements prepared in accordance with U.S. GAAP, provide investors with useful supplemental financial information to better understand our core operational performance and cash flows. These non-GAAP financial measures should not be considered superior to, as a substitute for, or as an alternative to, and should be considered in conjunction with, the most directly comparable U.S. GAAP financial measures. The non-GAAP financial measures may differ from similar measures used by other companies.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Reconciliation of Non-GAAP Financial Measures</w:t>
      </w:r>
    </w:p>
    <w:p>
      <w:pPr>
        <w:spacing w:after="0" w:line="11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following table provides a reconciliation of the non-GAAP financial performance measures used in this report to the most directly comparable measures calculated and reported in accordance with U.S. GAAP for the three month periods ended January 30, 2026 and January 31, 2025:</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tc>
        <w:tc>
          <w:tcPr>
            <w:tcW w:w="252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rPr>
              <w:t>January 30, 2026</w:t>
            </w:r>
          </w:p>
        </w:tc>
        <w:tc>
          <w:tcPr>
            <w:tcW w:w="22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January 31, 2025</w:t>
            </w:r>
          </w:p>
        </w:tc>
      </w:tr>
      <w:tr>
        <w:trPr>
          <w:trHeight w:val="214"/>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5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336.5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335.6</w:t>
            </w:r>
          </w:p>
        </w:tc>
      </w:tr>
      <w:tr>
        <w:trPr>
          <w:trHeight w:val="220"/>
        </w:trPr>
        <w:tc>
          <w:tcPr>
            <w:tcW w:w="5340" w:type="dxa"/>
            <w:vAlign w:val="bottom"/>
          </w:tcPr>
          <w:p>
            <w:pPr>
              <w:ind w:left="140"/>
              <w:spacing w:after="0" w:line="220" w:lineRule="exact"/>
              <w:rPr>
                <w:sz w:val="20"/>
                <w:szCs w:val="20"/>
                <w:color w:val="auto"/>
              </w:rPr>
            </w:pPr>
            <w:r>
              <w:rPr>
                <w:rFonts w:ascii="Times New Roman" w:cs="Times New Roman" w:eastAsia="Times New Roman" w:hAnsi="Times New Roman"/>
                <w:sz w:val="16"/>
                <w:szCs w:val="16"/>
                <w:color w:val="auto"/>
              </w:rPr>
              <w:t>Acquisition-related costs</w:t>
            </w:r>
            <w:r>
              <w:rPr>
                <w:rFonts w:ascii="Times New Roman" w:cs="Times New Roman" w:eastAsia="Times New Roman" w:hAnsi="Times New Roman"/>
                <w:sz w:val="21"/>
                <w:szCs w:val="21"/>
                <w:color w:val="auto"/>
                <w:vertAlign w:val="superscript"/>
              </w:rPr>
              <w:t>1</w:t>
            </w:r>
          </w:p>
        </w:tc>
        <w:tc>
          <w:tcPr>
            <w:tcW w:w="2520" w:type="dxa"/>
            <w:vAlign w:val="bottom"/>
          </w:tcPr>
          <w:p>
            <w:pPr>
              <w:spacing w:after="0"/>
              <w:rPr>
                <w:sz w:val="19"/>
                <w:szCs w:val="19"/>
                <w:color w:val="auto"/>
              </w:rPr>
            </w:pPr>
          </w:p>
        </w:tc>
        <w:tc>
          <w:tcPr>
            <w:tcW w:w="160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1.7</w:t>
            </w:r>
          </w:p>
        </w:tc>
        <w:tc>
          <w:tcPr>
            <w:tcW w:w="220" w:type="dxa"/>
            <w:vAlign w:val="bottom"/>
          </w:tcPr>
          <w:p>
            <w:pPr>
              <w:spacing w:after="0"/>
              <w:rPr>
                <w:sz w:val="19"/>
                <w:szCs w:val="19"/>
                <w:color w:val="auto"/>
              </w:rPr>
            </w:pPr>
          </w:p>
        </w:tc>
        <w:tc>
          <w:tcPr>
            <w:tcW w:w="15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5340" w:type="dxa"/>
            <w:vAlign w:val="bottom"/>
            <w:tcBorders>
              <w:bottom w:val="single" w:sz="8" w:color="auto"/>
            </w:tcBorders>
            <w:shd w:val="clear" w:color="auto" w:fill="CCEEFF"/>
          </w:tcPr>
          <w:p>
            <w:pPr>
              <w:ind w:left="140"/>
              <w:spacing w:after="0" w:line="220" w:lineRule="exact"/>
              <w:rPr>
                <w:sz w:val="20"/>
                <w:szCs w:val="20"/>
                <w:color w:val="auto"/>
              </w:rPr>
            </w:pPr>
            <w:r>
              <w:rPr>
                <w:rFonts w:ascii="Times New Roman" w:cs="Times New Roman" w:eastAsia="Times New Roman" w:hAnsi="Times New Roman"/>
                <w:sz w:val="16"/>
                <w:szCs w:val="16"/>
                <w:color w:val="auto"/>
              </w:rPr>
              <w:t>Productivity initiative</w:t>
            </w:r>
            <w:r>
              <w:rPr>
                <w:rFonts w:ascii="Times New Roman" w:cs="Times New Roman" w:eastAsia="Times New Roman" w:hAnsi="Times New Roman"/>
                <w:sz w:val="21"/>
                <w:szCs w:val="21"/>
                <w:color w:val="auto"/>
                <w:vertAlign w:val="superscript"/>
              </w:rPr>
              <w:t>2</w:t>
            </w:r>
          </w:p>
        </w:tc>
        <w:tc>
          <w:tcPr>
            <w:tcW w:w="25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8.4</w:t>
            </w: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3.8</w:t>
            </w:r>
          </w:p>
        </w:tc>
      </w:tr>
      <w:tr>
        <w:trPr>
          <w:trHeight w:val="210"/>
        </w:trPr>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Adjusted gross profit</w:t>
            </w:r>
          </w:p>
        </w:tc>
        <w:tc>
          <w:tcPr>
            <w:tcW w:w="25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346.6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339.4</w:t>
            </w:r>
          </w:p>
        </w:tc>
      </w:tr>
      <w:tr>
        <w:trPr>
          <w:trHeight w:val="73"/>
        </w:trPr>
        <w:tc>
          <w:tcPr>
            <w:tcW w:w="5340" w:type="dxa"/>
            <w:vAlign w:val="bottom"/>
            <w:tcBorders>
              <w:bottom w:val="single" w:sz="8" w:color="auto"/>
            </w:tcBorders>
            <w:shd w:val="clear" w:color="auto" w:fill="CCEEFF"/>
          </w:tcPr>
          <w:p>
            <w:pPr>
              <w:spacing w:after="0"/>
              <w:rPr>
                <w:sz w:val="6"/>
                <w:szCs w:val="6"/>
                <w:color w:val="auto"/>
              </w:rPr>
            </w:pPr>
          </w:p>
        </w:tc>
        <w:tc>
          <w:tcPr>
            <w:tcW w:w="2520" w:type="dxa"/>
            <w:vAlign w:val="bottom"/>
            <w:tcBorders>
              <w:bottom w:val="single" w:sz="8" w:color="auto"/>
            </w:tcBorders>
            <w:shd w:val="clear" w:color="auto" w:fill="CCEEFF"/>
          </w:tcPr>
          <w:p>
            <w:pPr>
              <w:spacing w:after="0"/>
              <w:rPr>
                <w:sz w:val="6"/>
                <w:szCs w:val="6"/>
                <w:color w:val="auto"/>
              </w:rPr>
            </w:pPr>
          </w:p>
        </w:tc>
        <w:tc>
          <w:tcPr>
            <w:tcW w:w="160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560" w:type="dxa"/>
            <w:vAlign w:val="bottom"/>
            <w:tcBorders>
              <w:bottom w:val="single" w:sz="8" w:color="auto"/>
            </w:tcBorders>
            <w:shd w:val="clear" w:color="auto" w:fill="CCEEFF"/>
          </w:tcPr>
          <w:p>
            <w:pPr>
              <w:spacing w:after="0"/>
              <w:rPr>
                <w:sz w:val="6"/>
                <w:szCs w:val="6"/>
                <w:color w:val="auto"/>
              </w:rPr>
            </w:pPr>
          </w:p>
        </w:tc>
      </w:tr>
      <w:tr>
        <w:trPr>
          <w:trHeight w:val="210"/>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25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32.5 %</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33.7 %</w:t>
            </w:r>
          </w:p>
        </w:tc>
      </w:tr>
      <w:tr>
        <w:trPr>
          <w:trHeight w:val="223"/>
        </w:trPr>
        <w:tc>
          <w:tcPr>
            <w:tcW w:w="5340" w:type="dxa"/>
            <w:vAlign w:val="bottom"/>
            <w:shd w:val="clear" w:color="auto" w:fill="CCEEFF"/>
          </w:tcPr>
          <w:p>
            <w:pPr>
              <w:ind w:left="140"/>
              <w:spacing w:after="0" w:line="223" w:lineRule="exact"/>
              <w:rPr>
                <w:sz w:val="20"/>
                <w:szCs w:val="20"/>
                <w:color w:val="auto"/>
              </w:rPr>
            </w:pPr>
            <w:r>
              <w:rPr>
                <w:rFonts w:ascii="Times New Roman" w:cs="Times New Roman" w:eastAsia="Times New Roman" w:hAnsi="Times New Roman"/>
                <w:sz w:val="16"/>
                <w:szCs w:val="16"/>
                <w:color w:val="auto"/>
              </w:rPr>
              <w:t>Acquisition-related costs</w:t>
            </w:r>
            <w:r>
              <w:rPr>
                <w:rFonts w:ascii="Times New Roman" w:cs="Times New Roman" w:eastAsia="Times New Roman" w:hAnsi="Times New Roman"/>
                <w:sz w:val="21"/>
                <w:szCs w:val="21"/>
                <w:color w:val="auto"/>
                <w:vertAlign w:val="superscript"/>
              </w:rPr>
              <w:t>1</w:t>
            </w:r>
          </w:p>
        </w:tc>
        <w:tc>
          <w:tcPr>
            <w:tcW w:w="25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20"/>
        </w:trPr>
        <w:tc>
          <w:tcPr>
            <w:tcW w:w="5340" w:type="dxa"/>
            <w:vAlign w:val="bottom"/>
            <w:tcBorders>
              <w:bottom w:val="single" w:sz="8" w:color="auto"/>
            </w:tcBorders>
          </w:tcPr>
          <w:p>
            <w:pPr>
              <w:ind w:left="140"/>
              <w:spacing w:after="0" w:line="220" w:lineRule="exact"/>
              <w:rPr>
                <w:sz w:val="20"/>
                <w:szCs w:val="20"/>
                <w:color w:val="auto"/>
              </w:rPr>
            </w:pPr>
            <w:r>
              <w:rPr>
                <w:rFonts w:ascii="Times New Roman" w:cs="Times New Roman" w:eastAsia="Times New Roman" w:hAnsi="Times New Roman"/>
                <w:sz w:val="16"/>
                <w:szCs w:val="16"/>
                <w:color w:val="auto"/>
              </w:rPr>
              <w:t>Productivity initiative</w:t>
            </w:r>
            <w:r>
              <w:rPr>
                <w:rFonts w:ascii="Times New Roman" w:cs="Times New Roman" w:eastAsia="Times New Roman" w:hAnsi="Times New Roman"/>
                <w:sz w:val="21"/>
                <w:szCs w:val="21"/>
                <w:color w:val="auto"/>
                <w:vertAlign w:val="superscript"/>
              </w:rPr>
              <w:t>2</w:t>
            </w:r>
          </w:p>
        </w:tc>
        <w:tc>
          <w:tcPr>
            <w:tcW w:w="25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0.4 %</w:t>
            </w:r>
          </w:p>
        </w:tc>
      </w:tr>
      <w:tr>
        <w:trPr>
          <w:trHeight w:val="210"/>
        </w:trPr>
        <w:tc>
          <w:tcPr>
            <w:tcW w:w="5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gross margin</w:t>
            </w:r>
          </w:p>
        </w:tc>
        <w:tc>
          <w:tcPr>
            <w:tcW w:w="25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33.4 %</w:t>
            </w: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34.1 %</w:t>
            </w:r>
          </w:p>
        </w:tc>
      </w:tr>
      <w:tr>
        <w:trPr>
          <w:trHeight w:val="73"/>
        </w:trPr>
        <w:tc>
          <w:tcPr>
            <w:tcW w:w="5340" w:type="dxa"/>
            <w:vAlign w:val="bottom"/>
            <w:tcBorders>
              <w:bottom w:val="single" w:sz="8" w:color="auto"/>
            </w:tcBorders>
          </w:tcPr>
          <w:p>
            <w:pPr>
              <w:spacing w:after="0"/>
              <w:rPr>
                <w:sz w:val="6"/>
                <w:szCs w:val="6"/>
                <w:color w:val="auto"/>
              </w:rPr>
            </w:pPr>
          </w:p>
        </w:tc>
        <w:tc>
          <w:tcPr>
            <w:tcW w:w="252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r>
      <w:tr>
        <w:trPr>
          <w:trHeight w:val="21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earnings</w:t>
            </w:r>
          </w:p>
        </w:tc>
        <w:tc>
          <w:tcPr>
            <w:tcW w:w="25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87.1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77.8</w:t>
            </w:r>
          </w:p>
        </w:tc>
      </w:tr>
      <w:tr>
        <w:trPr>
          <w:trHeight w:val="220"/>
        </w:trPr>
        <w:tc>
          <w:tcPr>
            <w:tcW w:w="5340" w:type="dxa"/>
            <w:vAlign w:val="bottom"/>
          </w:tcPr>
          <w:p>
            <w:pPr>
              <w:ind w:left="140"/>
              <w:spacing w:after="0" w:line="220" w:lineRule="exact"/>
              <w:rPr>
                <w:sz w:val="20"/>
                <w:szCs w:val="20"/>
                <w:color w:val="auto"/>
              </w:rPr>
            </w:pPr>
            <w:r>
              <w:rPr>
                <w:rFonts w:ascii="Times New Roman" w:cs="Times New Roman" w:eastAsia="Times New Roman" w:hAnsi="Times New Roman"/>
                <w:sz w:val="16"/>
                <w:szCs w:val="16"/>
                <w:color w:val="auto"/>
              </w:rPr>
              <w:t>Acquisition-related costs</w:t>
            </w:r>
            <w:r>
              <w:rPr>
                <w:rFonts w:ascii="Times New Roman" w:cs="Times New Roman" w:eastAsia="Times New Roman" w:hAnsi="Times New Roman"/>
                <w:sz w:val="21"/>
                <w:szCs w:val="21"/>
                <w:color w:val="auto"/>
                <w:vertAlign w:val="superscript"/>
              </w:rPr>
              <w:t>1</w:t>
            </w:r>
          </w:p>
        </w:tc>
        <w:tc>
          <w:tcPr>
            <w:tcW w:w="2520" w:type="dxa"/>
            <w:vAlign w:val="bottom"/>
          </w:tcPr>
          <w:p>
            <w:pPr>
              <w:spacing w:after="0"/>
              <w:rPr>
                <w:sz w:val="19"/>
                <w:szCs w:val="19"/>
                <w:color w:val="auto"/>
              </w:rPr>
            </w:pPr>
          </w:p>
        </w:tc>
        <w:tc>
          <w:tcPr>
            <w:tcW w:w="160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2.2</w:t>
            </w:r>
          </w:p>
        </w:tc>
        <w:tc>
          <w:tcPr>
            <w:tcW w:w="220" w:type="dxa"/>
            <w:vAlign w:val="bottom"/>
          </w:tcPr>
          <w:p>
            <w:pPr>
              <w:spacing w:after="0"/>
              <w:rPr>
                <w:sz w:val="19"/>
                <w:szCs w:val="19"/>
                <w:color w:val="auto"/>
              </w:rPr>
            </w:pPr>
          </w:p>
        </w:tc>
        <w:tc>
          <w:tcPr>
            <w:tcW w:w="15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5340" w:type="dxa"/>
            <w:vAlign w:val="bottom"/>
            <w:tcBorders>
              <w:bottom w:val="single" w:sz="8" w:color="auto"/>
            </w:tcBorders>
            <w:shd w:val="clear" w:color="auto" w:fill="CCEEFF"/>
          </w:tcPr>
          <w:p>
            <w:pPr>
              <w:ind w:left="140"/>
              <w:spacing w:after="0" w:line="220" w:lineRule="exact"/>
              <w:rPr>
                <w:sz w:val="20"/>
                <w:szCs w:val="20"/>
                <w:color w:val="auto"/>
              </w:rPr>
            </w:pPr>
            <w:r>
              <w:rPr>
                <w:rFonts w:ascii="Times New Roman" w:cs="Times New Roman" w:eastAsia="Times New Roman" w:hAnsi="Times New Roman"/>
                <w:sz w:val="16"/>
                <w:szCs w:val="16"/>
                <w:color w:val="auto"/>
              </w:rPr>
              <w:t>Productivity initiative</w:t>
            </w:r>
            <w:r>
              <w:rPr>
                <w:rFonts w:ascii="Times New Roman" w:cs="Times New Roman" w:eastAsia="Times New Roman" w:hAnsi="Times New Roman"/>
                <w:sz w:val="21"/>
                <w:szCs w:val="21"/>
                <w:color w:val="auto"/>
                <w:vertAlign w:val="superscript"/>
              </w:rPr>
              <w:t>2</w:t>
            </w:r>
          </w:p>
        </w:tc>
        <w:tc>
          <w:tcPr>
            <w:tcW w:w="25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12.4</w:t>
            </w: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16.2</w:t>
            </w:r>
          </w:p>
        </w:tc>
      </w:tr>
      <w:tr>
        <w:trPr>
          <w:trHeight w:val="210"/>
        </w:trPr>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Adjusted operating earnings</w:t>
            </w:r>
          </w:p>
        </w:tc>
        <w:tc>
          <w:tcPr>
            <w:tcW w:w="25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101.7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94.0</w:t>
            </w:r>
          </w:p>
        </w:tc>
      </w:tr>
      <w:tr>
        <w:trPr>
          <w:trHeight w:val="73"/>
        </w:trPr>
        <w:tc>
          <w:tcPr>
            <w:tcW w:w="5340" w:type="dxa"/>
            <w:vAlign w:val="bottom"/>
            <w:tcBorders>
              <w:bottom w:val="single" w:sz="8" w:color="auto"/>
            </w:tcBorders>
            <w:shd w:val="clear" w:color="auto" w:fill="CCEEFF"/>
          </w:tcPr>
          <w:p>
            <w:pPr>
              <w:spacing w:after="0"/>
              <w:rPr>
                <w:sz w:val="6"/>
                <w:szCs w:val="6"/>
                <w:color w:val="auto"/>
              </w:rPr>
            </w:pPr>
          </w:p>
        </w:tc>
        <w:tc>
          <w:tcPr>
            <w:tcW w:w="2520" w:type="dxa"/>
            <w:vAlign w:val="bottom"/>
            <w:tcBorders>
              <w:bottom w:val="single" w:sz="8" w:color="auto"/>
            </w:tcBorders>
            <w:shd w:val="clear" w:color="auto" w:fill="CCEEFF"/>
          </w:tcPr>
          <w:p>
            <w:pPr>
              <w:spacing w:after="0"/>
              <w:rPr>
                <w:sz w:val="6"/>
                <w:szCs w:val="6"/>
                <w:color w:val="auto"/>
              </w:rPr>
            </w:pPr>
          </w:p>
        </w:tc>
        <w:tc>
          <w:tcPr>
            <w:tcW w:w="160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560" w:type="dxa"/>
            <w:vAlign w:val="bottom"/>
            <w:tcBorders>
              <w:bottom w:val="single" w:sz="8" w:color="auto"/>
            </w:tcBorders>
            <w:shd w:val="clear" w:color="auto" w:fill="CCEEFF"/>
          </w:tcPr>
          <w:p>
            <w:pPr>
              <w:spacing w:after="0"/>
              <w:rPr>
                <w:sz w:val="6"/>
                <w:szCs w:val="6"/>
                <w:color w:val="auto"/>
              </w:rPr>
            </w:pPr>
          </w:p>
        </w:tc>
      </w:tr>
      <w:tr>
        <w:trPr>
          <w:trHeight w:val="210"/>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earnings margin</w:t>
            </w:r>
          </w:p>
        </w:tc>
        <w:tc>
          <w:tcPr>
            <w:tcW w:w="25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8.4 %</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7.8 %</w:t>
            </w:r>
          </w:p>
        </w:tc>
      </w:tr>
      <w:tr>
        <w:trPr>
          <w:trHeight w:val="223"/>
        </w:trPr>
        <w:tc>
          <w:tcPr>
            <w:tcW w:w="5340" w:type="dxa"/>
            <w:vAlign w:val="bottom"/>
            <w:shd w:val="clear" w:color="auto" w:fill="CCEEFF"/>
          </w:tcPr>
          <w:p>
            <w:pPr>
              <w:ind w:left="140"/>
              <w:spacing w:after="0" w:line="223" w:lineRule="exact"/>
              <w:rPr>
                <w:sz w:val="20"/>
                <w:szCs w:val="20"/>
                <w:color w:val="auto"/>
              </w:rPr>
            </w:pPr>
            <w:r>
              <w:rPr>
                <w:rFonts w:ascii="Times New Roman" w:cs="Times New Roman" w:eastAsia="Times New Roman" w:hAnsi="Times New Roman"/>
                <w:sz w:val="16"/>
                <w:szCs w:val="16"/>
                <w:color w:val="auto"/>
              </w:rPr>
              <w:t>Acquisition-related costs</w:t>
            </w:r>
            <w:r>
              <w:rPr>
                <w:rFonts w:ascii="Times New Roman" w:cs="Times New Roman" w:eastAsia="Times New Roman" w:hAnsi="Times New Roman"/>
                <w:sz w:val="21"/>
                <w:szCs w:val="21"/>
                <w:color w:val="auto"/>
                <w:vertAlign w:val="superscript"/>
              </w:rPr>
              <w:t>1</w:t>
            </w:r>
          </w:p>
        </w:tc>
        <w:tc>
          <w:tcPr>
            <w:tcW w:w="25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20"/>
        </w:trPr>
        <w:tc>
          <w:tcPr>
            <w:tcW w:w="5340" w:type="dxa"/>
            <w:vAlign w:val="bottom"/>
            <w:tcBorders>
              <w:bottom w:val="single" w:sz="8" w:color="auto"/>
            </w:tcBorders>
          </w:tcPr>
          <w:p>
            <w:pPr>
              <w:ind w:left="140"/>
              <w:spacing w:after="0" w:line="220" w:lineRule="exact"/>
              <w:rPr>
                <w:sz w:val="20"/>
                <w:szCs w:val="20"/>
                <w:color w:val="auto"/>
              </w:rPr>
            </w:pPr>
            <w:r>
              <w:rPr>
                <w:rFonts w:ascii="Times New Roman" w:cs="Times New Roman" w:eastAsia="Times New Roman" w:hAnsi="Times New Roman"/>
                <w:sz w:val="16"/>
                <w:szCs w:val="16"/>
                <w:color w:val="auto"/>
              </w:rPr>
              <w:t>Productivity initiative</w:t>
            </w:r>
            <w:r>
              <w:rPr>
                <w:rFonts w:ascii="Times New Roman" w:cs="Times New Roman" w:eastAsia="Times New Roman" w:hAnsi="Times New Roman"/>
                <w:sz w:val="21"/>
                <w:szCs w:val="21"/>
                <w:color w:val="auto"/>
                <w:vertAlign w:val="superscript"/>
              </w:rPr>
              <w:t>2</w:t>
            </w:r>
          </w:p>
        </w:tc>
        <w:tc>
          <w:tcPr>
            <w:tcW w:w="25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1.6 %</w:t>
            </w:r>
          </w:p>
        </w:tc>
      </w:tr>
      <w:tr>
        <w:trPr>
          <w:trHeight w:val="210"/>
        </w:trPr>
        <w:tc>
          <w:tcPr>
            <w:tcW w:w="5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operating earnings margin</w:t>
            </w:r>
          </w:p>
        </w:tc>
        <w:tc>
          <w:tcPr>
            <w:tcW w:w="25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9.8 %</w:t>
            </w: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9.4 %</w:t>
            </w:r>
          </w:p>
        </w:tc>
      </w:tr>
      <w:tr>
        <w:trPr>
          <w:trHeight w:val="73"/>
        </w:trPr>
        <w:tc>
          <w:tcPr>
            <w:tcW w:w="5340" w:type="dxa"/>
            <w:vAlign w:val="bottom"/>
            <w:tcBorders>
              <w:bottom w:val="single" w:sz="8" w:color="auto"/>
            </w:tcBorders>
          </w:tcPr>
          <w:p>
            <w:pPr>
              <w:spacing w:after="0"/>
              <w:rPr>
                <w:sz w:val="6"/>
                <w:szCs w:val="6"/>
                <w:color w:val="auto"/>
              </w:rPr>
            </w:pPr>
          </w:p>
        </w:tc>
        <w:tc>
          <w:tcPr>
            <w:tcW w:w="252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r>
      <w:tr>
        <w:trPr>
          <w:trHeight w:val="21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25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86.9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66.1</w:t>
            </w:r>
          </w:p>
        </w:tc>
      </w:tr>
      <w:tr>
        <w:trPr>
          <w:trHeight w:val="220"/>
        </w:trPr>
        <w:tc>
          <w:tcPr>
            <w:tcW w:w="5340" w:type="dxa"/>
            <w:vAlign w:val="bottom"/>
          </w:tcPr>
          <w:p>
            <w:pPr>
              <w:ind w:left="140"/>
              <w:spacing w:after="0" w:line="220" w:lineRule="exact"/>
              <w:rPr>
                <w:sz w:val="20"/>
                <w:szCs w:val="20"/>
                <w:color w:val="auto"/>
              </w:rPr>
            </w:pPr>
            <w:r>
              <w:rPr>
                <w:rFonts w:ascii="Times New Roman" w:cs="Times New Roman" w:eastAsia="Times New Roman" w:hAnsi="Times New Roman"/>
                <w:sz w:val="16"/>
                <w:szCs w:val="16"/>
                <w:color w:val="auto"/>
              </w:rPr>
              <w:t>Acquisition-related costs</w:t>
            </w:r>
            <w:r>
              <w:rPr>
                <w:rFonts w:ascii="Times New Roman" w:cs="Times New Roman" w:eastAsia="Times New Roman" w:hAnsi="Times New Roman"/>
                <w:sz w:val="21"/>
                <w:szCs w:val="21"/>
                <w:color w:val="auto"/>
                <w:vertAlign w:val="superscript"/>
              </w:rPr>
              <w:t>1</w:t>
            </w:r>
          </w:p>
        </w:tc>
        <w:tc>
          <w:tcPr>
            <w:tcW w:w="2520" w:type="dxa"/>
            <w:vAlign w:val="bottom"/>
          </w:tcPr>
          <w:p>
            <w:pPr>
              <w:spacing w:after="0"/>
              <w:rPr>
                <w:sz w:val="19"/>
                <w:szCs w:val="19"/>
                <w:color w:val="auto"/>
              </w:rPr>
            </w:pPr>
          </w:p>
        </w:tc>
        <w:tc>
          <w:tcPr>
            <w:tcW w:w="160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2.2</w:t>
            </w:r>
          </w:p>
        </w:tc>
        <w:tc>
          <w:tcPr>
            <w:tcW w:w="220" w:type="dxa"/>
            <w:vAlign w:val="bottom"/>
          </w:tcPr>
          <w:p>
            <w:pPr>
              <w:spacing w:after="0"/>
              <w:rPr>
                <w:sz w:val="19"/>
                <w:szCs w:val="19"/>
                <w:color w:val="auto"/>
              </w:rPr>
            </w:pPr>
          </w:p>
        </w:tc>
        <w:tc>
          <w:tcPr>
            <w:tcW w:w="15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5340" w:type="dxa"/>
            <w:vAlign w:val="bottom"/>
            <w:tcBorders>
              <w:bottom w:val="single" w:sz="8" w:color="auto"/>
            </w:tcBorders>
            <w:shd w:val="clear" w:color="auto" w:fill="CCEEFF"/>
          </w:tcPr>
          <w:p>
            <w:pPr>
              <w:ind w:left="140"/>
              <w:spacing w:after="0" w:line="220" w:lineRule="exact"/>
              <w:rPr>
                <w:sz w:val="20"/>
                <w:szCs w:val="20"/>
                <w:color w:val="auto"/>
              </w:rPr>
            </w:pPr>
            <w:r>
              <w:rPr>
                <w:rFonts w:ascii="Times New Roman" w:cs="Times New Roman" w:eastAsia="Times New Roman" w:hAnsi="Times New Roman"/>
                <w:sz w:val="16"/>
                <w:szCs w:val="16"/>
                <w:color w:val="auto"/>
              </w:rPr>
              <w:t>Productivity initiative</w:t>
            </w:r>
            <w:r>
              <w:rPr>
                <w:rFonts w:ascii="Times New Roman" w:cs="Times New Roman" w:eastAsia="Times New Roman" w:hAnsi="Times New Roman"/>
                <w:sz w:val="21"/>
                <w:szCs w:val="21"/>
                <w:color w:val="auto"/>
                <w:vertAlign w:val="superscript"/>
              </w:rPr>
              <w:t>2</w:t>
            </w:r>
          </w:p>
        </w:tc>
        <w:tc>
          <w:tcPr>
            <w:tcW w:w="25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3.4</w:t>
            </w: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16.5</w:t>
            </w:r>
          </w:p>
        </w:tc>
      </w:tr>
      <w:tr>
        <w:trPr>
          <w:trHeight w:val="210"/>
        </w:trPr>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Adjusted earnings before income taxes</w:t>
            </w:r>
          </w:p>
        </w:tc>
        <w:tc>
          <w:tcPr>
            <w:tcW w:w="25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92.5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82.6</w:t>
            </w:r>
          </w:p>
        </w:tc>
      </w:tr>
      <w:tr>
        <w:trPr>
          <w:trHeight w:val="73"/>
        </w:trPr>
        <w:tc>
          <w:tcPr>
            <w:tcW w:w="5340" w:type="dxa"/>
            <w:vAlign w:val="bottom"/>
            <w:tcBorders>
              <w:bottom w:val="single" w:sz="8" w:color="auto"/>
            </w:tcBorders>
            <w:shd w:val="clear" w:color="auto" w:fill="CCEEFF"/>
          </w:tcPr>
          <w:p>
            <w:pPr>
              <w:spacing w:after="0"/>
              <w:rPr>
                <w:sz w:val="6"/>
                <w:szCs w:val="6"/>
                <w:color w:val="auto"/>
              </w:rPr>
            </w:pPr>
          </w:p>
        </w:tc>
        <w:tc>
          <w:tcPr>
            <w:tcW w:w="2520" w:type="dxa"/>
            <w:vAlign w:val="bottom"/>
            <w:tcBorders>
              <w:bottom w:val="single" w:sz="8" w:color="auto"/>
            </w:tcBorders>
            <w:shd w:val="clear" w:color="auto" w:fill="CCEEFF"/>
          </w:tcPr>
          <w:p>
            <w:pPr>
              <w:spacing w:after="0"/>
              <w:rPr>
                <w:sz w:val="6"/>
                <w:szCs w:val="6"/>
                <w:color w:val="auto"/>
              </w:rPr>
            </w:pPr>
          </w:p>
        </w:tc>
        <w:tc>
          <w:tcPr>
            <w:tcW w:w="160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560" w:type="dxa"/>
            <w:vAlign w:val="bottom"/>
            <w:tcBorders>
              <w:bottom w:val="single" w:sz="8" w:color="auto"/>
            </w:tcBorders>
            <w:shd w:val="clear" w:color="auto" w:fill="CCEEFF"/>
          </w:tcPr>
          <w:p>
            <w:pPr>
              <w:spacing w:after="0"/>
              <w:rPr>
                <w:sz w:val="6"/>
                <w:szCs w:val="6"/>
                <w:color w:val="auto"/>
              </w:rPr>
            </w:pPr>
          </w:p>
        </w:tc>
      </w:tr>
      <w:tr>
        <w:trPr>
          <w:trHeight w:val="210"/>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25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19.0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13.3</w:t>
            </w:r>
          </w:p>
        </w:tc>
      </w:tr>
      <w:tr>
        <w:trPr>
          <w:trHeight w:val="223"/>
        </w:trPr>
        <w:tc>
          <w:tcPr>
            <w:tcW w:w="5340" w:type="dxa"/>
            <w:vAlign w:val="bottom"/>
            <w:shd w:val="clear" w:color="auto" w:fill="CCEEFF"/>
          </w:tcPr>
          <w:p>
            <w:pPr>
              <w:ind w:left="140"/>
              <w:spacing w:after="0" w:line="223" w:lineRule="exact"/>
              <w:rPr>
                <w:sz w:val="20"/>
                <w:szCs w:val="20"/>
                <w:color w:val="auto"/>
              </w:rPr>
            </w:pPr>
            <w:r>
              <w:rPr>
                <w:rFonts w:ascii="Times New Roman" w:cs="Times New Roman" w:eastAsia="Times New Roman" w:hAnsi="Times New Roman"/>
                <w:sz w:val="16"/>
                <w:szCs w:val="16"/>
                <w:color w:val="auto"/>
              </w:rPr>
              <w:t>Acquisition-related costs</w:t>
            </w:r>
            <w:r>
              <w:rPr>
                <w:rFonts w:ascii="Times New Roman" w:cs="Times New Roman" w:eastAsia="Times New Roman" w:hAnsi="Times New Roman"/>
                <w:sz w:val="21"/>
                <w:szCs w:val="21"/>
                <w:color w:val="auto"/>
                <w:vertAlign w:val="superscript"/>
              </w:rPr>
              <w:t>1</w:t>
            </w:r>
          </w:p>
        </w:tc>
        <w:tc>
          <w:tcPr>
            <w:tcW w:w="25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0.5</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5340" w:type="dxa"/>
            <w:vAlign w:val="bottom"/>
          </w:tcPr>
          <w:p>
            <w:pPr>
              <w:ind w:left="140"/>
              <w:spacing w:after="0" w:line="220" w:lineRule="exact"/>
              <w:rPr>
                <w:sz w:val="20"/>
                <w:szCs w:val="20"/>
                <w:color w:val="auto"/>
              </w:rPr>
            </w:pPr>
            <w:r>
              <w:rPr>
                <w:rFonts w:ascii="Times New Roman" w:cs="Times New Roman" w:eastAsia="Times New Roman" w:hAnsi="Times New Roman"/>
                <w:sz w:val="16"/>
                <w:szCs w:val="16"/>
                <w:color w:val="auto"/>
              </w:rPr>
              <w:t>Productivity initiative</w:t>
            </w:r>
            <w:r>
              <w:rPr>
                <w:rFonts w:ascii="Times New Roman" w:cs="Times New Roman" w:eastAsia="Times New Roman" w:hAnsi="Times New Roman"/>
                <w:sz w:val="21"/>
                <w:szCs w:val="21"/>
                <w:color w:val="auto"/>
                <w:vertAlign w:val="superscript"/>
              </w:rPr>
              <w:t>2</w:t>
            </w:r>
          </w:p>
        </w:tc>
        <w:tc>
          <w:tcPr>
            <w:tcW w:w="2520" w:type="dxa"/>
            <w:vAlign w:val="bottom"/>
          </w:tcPr>
          <w:p>
            <w:pPr>
              <w:spacing w:after="0"/>
              <w:rPr>
                <w:sz w:val="19"/>
                <w:szCs w:val="19"/>
                <w:color w:val="auto"/>
              </w:rPr>
            </w:pPr>
          </w:p>
        </w:tc>
        <w:tc>
          <w:tcPr>
            <w:tcW w:w="160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0.7</w:t>
            </w:r>
          </w:p>
        </w:tc>
        <w:tc>
          <w:tcPr>
            <w:tcW w:w="220" w:type="dxa"/>
            <w:vAlign w:val="bottom"/>
          </w:tcPr>
          <w:p>
            <w:pPr>
              <w:spacing w:after="0"/>
              <w:rPr>
                <w:sz w:val="19"/>
                <w:szCs w:val="19"/>
                <w:color w:val="auto"/>
              </w:rPr>
            </w:pPr>
          </w:p>
        </w:tc>
        <w:tc>
          <w:tcPr>
            <w:tcW w:w="15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3.3</w:t>
            </w:r>
          </w:p>
        </w:tc>
      </w:tr>
      <w:tr>
        <w:trPr>
          <w:trHeight w:val="220"/>
        </w:trPr>
        <w:tc>
          <w:tcPr>
            <w:tcW w:w="5340" w:type="dxa"/>
            <w:vAlign w:val="bottom"/>
            <w:tcBorders>
              <w:bottom w:val="single" w:sz="8" w:color="auto"/>
            </w:tcBorders>
            <w:shd w:val="clear" w:color="auto" w:fill="CCEEFF"/>
          </w:tcPr>
          <w:p>
            <w:pPr>
              <w:ind w:left="140"/>
              <w:spacing w:after="0" w:line="220" w:lineRule="exact"/>
              <w:rPr>
                <w:sz w:val="20"/>
                <w:szCs w:val="20"/>
                <w:color w:val="auto"/>
              </w:rPr>
            </w:pPr>
            <w:r>
              <w:rPr>
                <w:rFonts w:ascii="Times New Roman" w:cs="Times New Roman" w:eastAsia="Times New Roman" w:hAnsi="Times New Roman"/>
                <w:sz w:val="16"/>
                <w:szCs w:val="16"/>
                <w:color w:val="auto"/>
              </w:rPr>
              <w:t>Tax impact of share-based compensation</w:t>
            </w:r>
            <w:r>
              <w:rPr>
                <w:rFonts w:ascii="Times New Roman" w:cs="Times New Roman" w:eastAsia="Times New Roman" w:hAnsi="Times New Roman"/>
                <w:sz w:val="21"/>
                <w:szCs w:val="21"/>
                <w:color w:val="auto"/>
                <w:vertAlign w:val="superscript"/>
              </w:rPr>
              <w:t>3</w:t>
            </w:r>
          </w:p>
        </w:tc>
        <w:tc>
          <w:tcPr>
            <w:tcW w:w="25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(0.3)</w:t>
            </w: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0.1</w:t>
            </w:r>
          </w:p>
        </w:tc>
      </w:tr>
      <w:tr>
        <w:trPr>
          <w:trHeight w:val="210"/>
        </w:trPr>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Adjusted income tax provision</w:t>
            </w:r>
          </w:p>
        </w:tc>
        <w:tc>
          <w:tcPr>
            <w:tcW w:w="25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19.9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16.7</w:t>
            </w:r>
          </w:p>
        </w:tc>
      </w:tr>
      <w:tr>
        <w:trPr>
          <w:trHeight w:val="99"/>
        </w:trPr>
        <w:tc>
          <w:tcPr>
            <w:tcW w:w="5340" w:type="dxa"/>
            <w:vAlign w:val="bottom"/>
            <w:tcBorders>
              <w:bottom w:val="single" w:sz="8" w:color="auto"/>
            </w:tcBorders>
          </w:tcPr>
          <w:p>
            <w:pPr>
              <w:spacing w:after="0"/>
              <w:rPr>
                <w:sz w:val="8"/>
                <w:szCs w:val="8"/>
                <w:color w:val="auto"/>
              </w:rPr>
            </w:pPr>
          </w:p>
        </w:tc>
        <w:tc>
          <w:tcPr>
            <w:tcW w:w="252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r>
      <w:tr>
        <w:trPr>
          <w:trHeight w:val="210"/>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25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67.9</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52.8</w:t>
            </w:r>
          </w:p>
        </w:tc>
      </w:tr>
      <w:tr>
        <w:trPr>
          <w:trHeight w:val="223"/>
        </w:trPr>
        <w:tc>
          <w:tcPr>
            <w:tcW w:w="5340" w:type="dxa"/>
            <w:vAlign w:val="bottom"/>
            <w:shd w:val="clear" w:color="auto" w:fill="CCEEFF"/>
          </w:tcPr>
          <w:p>
            <w:pPr>
              <w:ind w:left="140"/>
              <w:spacing w:after="0" w:line="223" w:lineRule="exact"/>
              <w:rPr>
                <w:sz w:val="20"/>
                <w:szCs w:val="20"/>
                <w:color w:val="auto"/>
              </w:rPr>
            </w:pPr>
            <w:r>
              <w:rPr>
                <w:rFonts w:ascii="Times New Roman" w:cs="Times New Roman" w:eastAsia="Times New Roman" w:hAnsi="Times New Roman"/>
                <w:sz w:val="16"/>
                <w:szCs w:val="16"/>
                <w:color w:val="auto"/>
              </w:rPr>
              <w:t>Acquisition-related costs, net of tax</w:t>
            </w:r>
            <w:r>
              <w:rPr>
                <w:rFonts w:ascii="Times New Roman" w:cs="Times New Roman" w:eastAsia="Times New Roman" w:hAnsi="Times New Roman"/>
                <w:sz w:val="21"/>
                <w:szCs w:val="21"/>
                <w:color w:val="auto"/>
                <w:vertAlign w:val="superscript"/>
              </w:rPr>
              <w:t>1</w:t>
            </w:r>
          </w:p>
        </w:tc>
        <w:tc>
          <w:tcPr>
            <w:tcW w:w="25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1.7</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5340" w:type="dxa"/>
            <w:vAlign w:val="bottom"/>
          </w:tcPr>
          <w:p>
            <w:pPr>
              <w:ind w:left="140"/>
              <w:spacing w:after="0" w:line="220" w:lineRule="exact"/>
              <w:rPr>
                <w:sz w:val="20"/>
                <w:szCs w:val="20"/>
                <w:color w:val="auto"/>
              </w:rPr>
            </w:pPr>
            <w:r>
              <w:rPr>
                <w:rFonts w:ascii="Times New Roman" w:cs="Times New Roman" w:eastAsia="Times New Roman" w:hAnsi="Times New Roman"/>
                <w:sz w:val="16"/>
                <w:szCs w:val="16"/>
                <w:color w:val="auto"/>
              </w:rPr>
              <w:t>Productivity initiative, net of tax</w:t>
            </w:r>
            <w:r>
              <w:rPr>
                <w:rFonts w:ascii="Times New Roman" w:cs="Times New Roman" w:eastAsia="Times New Roman" w:hAnsi="Times New Roman"/>
                <w:sz w:val="21"/>
                <w:szCs w:val="21"/>
                <w:color w:val="auto"/>
                <w:vertAlign w:val="superscript"/>
              </w:rPr>
              <w:t>2</w:t>
            </w:r>
          </w:p>
        </w:tc>
        <w:tc>
          <w:tcPr>
            <w:tcW w:w="2520" w:type="dxa"/>
            <w:vAlign w:val="bottom"/>
          </w:tcPr>
          <w:p>
            <w:pPr>
              <w:spacing w:after="0"/>
              <w:rPr>
                <w:sz w:val="19"/>
                <w:szCs w:val="19"/>
                <w:color w:val="auto"/>
              </w:rPr>
            </w:pPr>
          </w:p>
        </w:tc>
        <w:tc>
          <w:tcPr>
            <w:tcW w:w="160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2.7</w:t>
            </w:r>
          </w:p>
        </w:tc>
        <w:tc>
          <w:tcPr>
            <w:tcW w:w="220" w:type="dxa"/>
            <w:vAlign w:val="bottom"/>
          </w:tcPr>
          <w:p>
            <w:pPr>
              <w:spacing w:after="0"/>
              <w:rPr>
                <w:sz w:val="19"/>
                <w:szCs w:val="19"/>
                <w:color w:val="auto"/>
              </w:rPr>
            </w:pPr>
          </w:p>
        </w:tc>
        <w:tc>
          <w:tcPr>
            <w:tcW w:w="15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13.2</w:t>
            </w:r>
          </w:p>
        </w:tc>
      </w:tr>
      <w:tr>
        <w:trPr>
          <w:trHeight w:val="220"/>
        </w:trPr>
        <w:tc>
          <w:tcPr>
            <w:tcW w:w="5340" w:type="dxa"/>
            <w:vAlign w:val="bottom"/>
            <w:tcBorders>
              <w:bottom w:val="single" w:sz="8" w:color="auto"/>
            </w:tcBorders>
            <w:shd w:val="clear" w:color="auto" w:fill="CCEEFF"/>
          </w:tcPr>
          <w:p>
            <w:pPr>
              <w:ind w:left="140"/>
              <w:spacing w:after="0" w:line="220" w:lineRule="exact"/>
              <w:rPr>
                <w:sz w:val="20"/>
                <w:szCs w:val="20"/>
                <w:color w:val="auto"/>
              </w:rPr>
            </w:pPr>
            <w:r>
              <w:rPr>
                <w:rFonts w:ascii="Times New Roman" w:cs="Times New Roman" w:eastAsia="Times New Roman" w:hAnsi="Times New Roman"/>
                <w:sz w:val="16"/>
                <w:szCs w:val="16"/>
                <w:color w:val="auto"/>
              </w:rPr>
              <w:t>Tax impact of stock-based compensation</w:t>
            </w:r>
            <w:r>
              <w:rPr>
                <w:rFonts w:ascii="Times New Roman" w:cs="Times New Roman" w:eastAsia="Times New Roman" w:hAnsi="Times New Roman"/>
                <w:sz w:val="21"/>
                <w:szCs w:val="21"/>
                <w:color w:val="auto"/>
                <w:vertAlign w:val="superscript"/>
              </w:rPr>
              <w:t>3</w:t>
            </w:r>
          </w:p>
        </w:tc>
        <w:tc>
          <w:tcPr>
            <w:tcW w:w="25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0.3</w:t>
            </w: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(0.1)</w:t>
            </w:r>
          </w:p>
        </w:tc>
      </w:tr>
      <w:tr>
        <w:trPr>
          <w:trHeight w:val="210"/>
        </w:trPr>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Adjusted net earnings</w:t>
            </w:r>
          </w:p>
        </w:tc>
        <w:tc>
          <w:tcPr>
            <w:tcW w:w="25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72.6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65.9</w:t>
            </w:r>
          </w:p>
        </w:tc>
      </w:tr>
      <w:tr>
        <w:trPr>
          <w:trHeight w:val="99"/>
        </w:trPr>
        <w:tc>
          <w:tcPr>
            <w:tcW w:w="5340" w:type="dxa"/>
            <w:vAlign w:val="bottom"/>
            <w:tcBorders>
              <w:bottom w:val="single" w:sz="8" w:color="auto"/>
            </w:tcBorders>
          </w:tcPr>
          <w:p>
            <w:pPr>
              <w:spacing w:after="0"/>
              <w:rPr>
                <w:sz w:val="8"/>
                <w:szCs w:val="8"/>
                <w:color w:val="auto"/>
              </w:rPr>
            </w:pPr>
          </w:p>
        </w:tc>
        <w:tc>
          <w:tcPr>
            <w:tcW w:w="252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r>
      <w:tr>
        <w:trPr>
          <w:trHeight w:val="210"/>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 per diluted share</w:t>
            </w:r>
          </w:p>
        </w:tc>
        <w:tc>
          <w:tcPr>
            <w:tcW w:w="25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0.69</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0.52</w:t>
            </w:r>
          </w:p>
        </w:tc>
      </w:tr>
      <w:tr>
        <w:trPr>
          <w:trHeight w:val="223"/>
        </w:trPr>
        <w:tc>
          <w:tcPr>
            <w:tcW w:w="5340" w:type="dxa"/>
            <w:vAlign w:val="bottom"/>
            <w:shd w:val="clear" w:color="auto" w:fill="CCEEFF"/>
          </w:tcPr>
          <w:p>
            <w:pPr>
              <w:ind w:left="140"/>
              <w:spacing w:after="0" w:line="223" w:lineRule="exact"/>
              <w:rPr>
                <w:sz w:val="20"/>
                <w:szCs w:val="20"/>
                <w:color w:val="auto"/>
              </w:rPr>
            </w:pPr>
            <w:r>
              <w:rPr>
                <w:rFonts w:ascii="Times New Roman" w:cs="Times New Roman" w:eastAsia="Times New Roman" w:hAnsi="Times New Roman"/>
                <w:sz w:val="16"/>
                <w:szCs w:val="16"/>
                <w:color w:val="auto"/>
              </w:rPr>
              <w:t>Acquisition-related costs, net of tax</w:t>
            </w:r>
            <w:r>
              <w:rPr>
                <w:rFonts w:ascii="Times New Roman" w:cs="Times New Roman" w:eastAsia="Times New Roman" w:hAnsi="Times New Roman"/>
                <w:sz w:val="21"/>
                <w:szCs w:val="21"/>
                <w:color w:val="auto"/>
                <w:vertAlign w:val="superscript"/>
              </w:rPr>
              <w:t>1</w:t>
            </w:r>
          </w:p>
        </w:tc>
        <w:tc>
          <w:tcPr>
            <w:tcW w:w="25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0.02</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5340" w:type="dxa"/>
            <w:vAlign w:val="bottom"/>
            <w:tcBorders>
              <w:bottom w:val="single" w:sz="8" w:color="auto"/>
            </w:tcBorders>
          </w:tcPr>
          <w:p>
            <w:pPr>
              <w:ind w:left="140"/>
              <w:spacing w:after="0" w:line="220" w:lineRule="exact"/>
              <w:rPr>
                <w:sz w:val="20"/>
                <w:szCs w:val="20"/>
                <w:color w:val="auto"/>
              </w:rPr>
            </w:pPr>
            <w:r>
              <w:rPr>
                <w:rFonts w:ascii="Times New Roman" w:cs="Times New Roman" w:eastAsia="Times New Roman" w:hAnsi="Times New Roman"/>
                <w:sz w:val="16"/>
                <w:szCs w:val="16"/>
                <w:color w:val="auto"/>
              </w:rPr>
              <w:t>Productivity initiative, net of tax</w:t>
            </w:r>
            <w:r>
              <w:rPr>
                <w:rFonts w:ascii="Times New Roman" w:cs="Times New Roman" w:eastAsia="Times New Roman" w:hAnsi="Times New Roman"/>
                <w:sz w:val="21"/>
                <w:szCs w:val="21"/>
                <w:color w:val="auto"/>
                <w:vertAlign w:val="superscript"/>
              </w:rPr>
              <w:t>2</w:t>
            </w:r>
          </w:p>
        </w:tc>
        <w:tc>
          <w:tcPr>
            <w:tcW w:w="25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0.03</w:t>
            </w: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0.13</w:t>
            </w:r>
          </w:p>
        </w:tc>
      </w:tr>
      <w:tr>
        <w:trPr>
          <w:trHeight w:val="235"/>
        </w:trPr>
        <w:tc>
          <w:tcPr>
            <w:tcW w:w="5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earnings per diluted share</w:t>
            </w:r>
          </w:p>
        </w:tc>
        <w:tc>
          <w:tcPr>
            <w:tcW w:w="25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0.74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0.65</w:t>
            </w:r>
          </w:p>
        </w:tc>
      </w:tr>
      <w:tr>
        <w:trPr>
          <w:trHeight w:val="20"/>
        </w:trPr>
        <w:tc>
          <w:tcPr>
            <w:tcW w:w="5340" w:type="dxa"/>
            <w:vAlign w:val="bottom"/>
            <w:tcBorders>
              <w:top w:val="single" w:sz="8" w:color="CCEEFF"/>
              <w:bottom w:val="single" w:sz="8" w:color="auto"/>
            </w:tcBorders>
          </w:tcPr>
          <w:p>
            <w:pPr>
              <w:spacing w:after="0" w:line="20" w:lineRule="exact"/>
              <w:rPr>
                <w:sz w:val="1"/>
                <w:szCs w:val="1"/>
                <w:color w:val="auto"/>
              </w:rPr>
            </w:pPr>
          </w:p>
        </w:tc>
        <w:tc>
          <w:tcPr>
            <w:tcW w:w="25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39"/>
        </w:trPr>
        <w:tc>
          <w:tcPr>
            <w:tcW w:w="5340" w:type="dxa"/>
            <w:vAlign w:val="bottom"/>
            <w:tcBorders>
              <w:bottom w:val="single" w:sz="8" w:color="auto"/>
            </w:tcBorders>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1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25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21.9 %</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20.1 %</w:t>
            </w:r>
          </w:p>
        </w:tc>
      </w:tr>
      <w:tr>
        <w:trPr>
          <w:trHeight w:val="220"/>
        </w:trPr>
        <w:tc>
          <w:tcPr>
            <w:tcW w:w="5340" w:type="dxa"/>
            <w:vAlign w:val="bottom"/>
            <w:tcBorders>
              <w:bottom w:val="single" w:sz="8" w:color="auto"/>
            </w:tcBorders>
          </w:tcPr>
          <w:p>
            <w:pPr>
              <w:ind w:left="140"/>
              <w:spacing w:after="0" w:line="220" w:lineRule="exact"/>
              <w:rPr>
                <w:sz w:val="20"/>
                <w:szCs w:val="20"/>
                <w:color w:val="auto"/>
              </w:rPr>
            </w:pPr>
            <w:r>
              <w:rPr>
                <w:rFonts w:ascii="Times New Roman" w:cs="Times New Roman" w:eastAsia="Times New Roman" w:hAnsi="Times New Roman"/>
                <w:sz w:val="16"/>
                <w:szCs w:val="16"/>
                <w:color w:val="auto"/>
              </w:rPr>
              <w:t>Tax impact of stock-based compensation</w:t>
            </w:r>
            <w:r>
              <w:rPr>
                <w:rFonts w:ascii="Times New Roman" w:cs="Times New Roman" w:eastAsia="Times New Roman" w:hAnsi="Times New Roman"/>
                <w:sz w:val="21"/>
                <w:szCs w:val="21"/>
                <w:color w:val="auto"/>
                <w:vertAlign w:val="superscript"/>
              </w:rPr>
              <w:t>3</w:t>
            </w:r>
          </w:p>
        </w:tc>
        <w:tc>
          <w:tcPr>
            <w:tcW w:w="25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(0.4)%</w:t>
            </w: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0.1 %</w:t>
            </w:r>
          </w:p>
        </w:tc>
      </w:tr>
      <w:tr>
        <w:trPr>
          <w:trHeight w:val="235"/>
        </w:trPr>
        <w:tc>
          <w:tcPr>
            <w:tcW w:w="5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effective tax rate</w:t>
            </w:r>
          </w:p>
        </w:tc>
        <w:tc>
          <w:tcPr>
            <w:tcW w:w="25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21.5 %</w:t>
            </w: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20.2 %</w:t>
            </w:r>
          </w:p>
        </w:tc>
      </w:tr>
      <w:tr>
        <w:trPr>
          <w:trHeight w:val="20"/>
        </w:trPr>
        <w:tc>
          <w:tcPr>
            <w:tcW w:w="5340" w:type="dxa"/>
            <w:vAlign w:val="bottom"/>
            <w:tcBorders>
              <w:top w:val="single" w:sz="8" w:color="CCEEFF"/>
              <w:bottom w:val="single" w:sz="8" w:color="auto"/>
            </w:tcBorders>
          </w:tcPr>
          <w:p>
            <w:pPr>
              <w:spacing w:after="0" w:line="20" w:lineRule="exact"/>
              <w:rPr>
                <w:sz w:val="1"/>
                <w:szCs w:val="1"/>
                <w:color w:val="auto"/>
              </w:rPr>
            </w:pPr>
          </w:p>
        </w:tc>
        <w:tc>
          <w:tcPr>
            <w:tcW w:w="25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240" w:hanging="159"/>
        <w:spacing w:after="0" w:line="235" w:lineRule="auto"/>
        <w:tabs>
          <w:tab w:leader="none" w:pos="318"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 xml:space="preserve">On December 8, 2025, we completed the acquisition of Tornado Infrastructure Equipment. For additional information regarding this acquisition, refer to Note 2, </w:t>
      </w:r>
      <w:r>
        <w:rPr>
          <w:rFonts w:ascii="Times New Roman" w:cs="Times New Roman" w:eastAsia="Times New Roman" w:hAnsi="Times New Roman"/>
          <w:sz w:val="15"/>
          <w:szCs w:val="15"/>
          <w:i w:val="1"/>
          <w:iCs w:val="1"/>
          <w:color w:val="auto"/>
        </w:rPr>
        <w:t>Acquisitions and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Divestitures</w:t>
      </w:r>
      <w:r>
        <w:rPr>
          <w:rFonts w:ascii="Times New Roman" w:cs="Times New Roman" w:eastAsia="Times New Roman" w:hAnsi="Times New Roman"/>
          <w:sz w:val="15"/>
          <w:szCs w:val="15"/>
          <w:color w:val="auto"/>
        </w:rPr>
        <w:t>, within the Notes to Condensed Consolidated Financial Statements included within Part I, Item 1, "Financial Statements" of this Quarterly Report on Form 10-Q. Acquisition-related costs for the three month period ended January 30, 2026 represent integration costs and amortization of the backlog intangible asset resulting from purchase accounting adjustments.</w:t>
      </w:r>
    </w:p>
    <w:p>
      <w:pPr>
        <w:spacing w:after="0" w:line="82" w:lineRule="exact"/>
        <w:rPr>
          <w:sz w:val="20"/>
          <w:szCs w:val="20"/>
          <w:color w:val="auto"/>
        </w:rPr>
      </w:pPr>
    </w:p>
    <w:p>
      <w:pPr>
        <w:jc w:val="both"/>
        <w:ind w:left="240" w:hanging="159"/>
        <w:spacing w:after="0" w:line="231" w:lineRule="auto"/>
        <w:tabs>
          <w:tab w:leader="none" w:pos="227"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 the first quarter of fiscal 2024, we launched a significant productivity initiative named AMP, as discussed in more detail under the heading "Company Overview-AMP Initiative" in this section. We considered the nature, frequency, and scale of this initiative compared to our prior productivity initiatives when determining that the expenses associated with AMP, unlike our prior productivity initiatives, are not common, normal, recurring operating expenses and are not representative of our ongoing business operations. Productivity initiative charges for the three month periods ended January 30, 2026 and January 31, 2025 primarily represent facility exit-related costs and gains, severance and termination benefits, compensation for fully-dedicated AMP personnel, third-party consulting costs, and product-line exit costs.</w:t>
      </w:r>
    </w:p>
    <w:p>
      <w:pPr>
        <w:spacing w:after="0" w:line="146" w:lineRule="exact"/>
        <w:rPr>
          <w:sz w:val="20"/>
          <w:szCs w:val="20"/>
          <w:color w:val="auto"/>
        </w:rPr>
      </w:pPr>
    </w:p>
    <w:p>
      <w:pPr>
        <w:jc w:val="both"/>
        <w:ind w:left="240" w:hanging="159"/>
        <w:spacing w:after="0" w:line="226" w:lineRule="auto"/>
        <w:tabs>
          <w:tab w:leader="none" w:pos="305"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accounting standards codification guidance governing employee stock-based compensation requires that any excess or deficient tax deduction for stock-based compensation be immediately recorded within income tax expense. Employee stock-based compensation activity, including the exercise of stock options, can be unpredictable and can significantly impact our net earnings, net earnings per diluted share, and effective tax rate. These amounts represent the discrete tax benefits recorded as excess tax deductions for stock-based compensation during the three month periods ended January 30, 2026 and January 31, 2025.</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Reconciliation of Non-GAAP Liquidity Measures</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define free cash flow as net cash provided by operating activities less purchases of property, plant, and equipment. Free cash flow conversion percentage represents free cash flow as a percentage of net earnings. We consider free cash flow and free cash flow conversion percentage to be non-GAAP liquidity measures that provide useful information to management and investors about our ability to convert net earnings into cash resources that can be used to pursue opportunities to enhance stockholder value, fund ongoing and prospective business initiatives, and strengthen our Condensed Consolidated Balance Sheets, after reinvesting in necessary capital expenditures required to maintain and grow our business. The following table provides a reconciliation of non-GAAP free cash flow and free cash flow conversion percentage to net cash provided by operating activities, which is the most directly comparable financial measure calculated and reported in accordance with U.S. GAAP, for the three month periods ended January 30, 2026 and January 31, 2025:</w:t>
      </w:r>
    </w:p>
    <w:p>
      <w:pPr>
        <w:spacing w:after="0" w:line="103"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200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January 30, 2026</w:t>
            </w:r>
          </w:p>
        </w:tc>
        <w:tc>
          <w:tcPr>
            <w:tcW w:w="22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January 31, 2025</w:t>
            </w:r>
          </w:p>
        </w:tc>
      </w:tr>
      <w:tr>
        <w:trPr>
          <w:trHeight w:val="214"/>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26.1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(48.6)</w:t>
            </w:r>
          </w:p>
        </w:tc>
      </w:tr>
      <w:tr>
        <w:trPr>
          <w:trHeight w:val="217"/>
        </w:trPr>
        <w:tc>
          <w:tcPr>
            <w:tcW w:w="5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Less: Purchases of property, plant, and equipment</w:t>
            </w:r>
          </w:p>
        </w:tc>
        <w:tc>
          <w:tcPr>
            <w:tcW w:w="20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6"/>
                <w:szCs w:val="16"/>
                <w:color w:val="auto"/>
              </w:rPr>
              <w:t>11.5</w:t>
            </w: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19.1</w:t>
            </w:r>
          </w:p>
        </w:tc>
      </w:tr>
      <w:tr>
        <w:trPr>
          <w:trHeight w:val="216"/>
        </w:trPr>
        <w:tc>
          <w:tcPr>
            <w:tcW w:w="5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Free cash flow</w:t>
            </w:r>
          </w:p>
        </w:tc>
        <w:tc>
          <w:tcPr>
            <w:tcW w:w="2000" w:type="dxa"/>
            <w:vAlign w:val="bottom"/>
            <w:shd w:val="clear" w:color="auto" w:fill="CCEEFF"/>
          </w:tcPr>
          <w:p>
            <w:pPr>
              <w:spacing w:after="0"/>
              <w:rPr>
                <w:sz w:val="18"/>
                <w:szCs w:val="18"/>
                <w:color w:val="auto"/>
              </w:rPr>
            </w:pPr>
          </w:p>
        </w:tc>
        <w:tc>
          <w:tcPr>
            <w:tcW w:w="15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14.6</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(67.7)</w:t>
            </w:r>
          </w:p>
        </w:tc>
      </w:tr>
      <w:tr>
        <w:trPr>
          <w:trHeight w:val="217"/>
        </w:trPr>
        <w:tc>
          <w:tcPr>
            <w:tcW w:w="5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Net earnings</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6"/>
                <w:szCs w:val="16"/>
                <w:color w:val="auto"/>
              </w:rPr>
              <w:t>67.9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52.8</w:t>
            </w:r>
          </w:p>
        </w:tc>
      </w:tr>
      <w:tr>
        <w:trPr>
          <w:trHeight w:val="238"/>
        </w:trPr>
        <w:tc>
          <w:tcPr>
            <w:tcW w:w="52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Free cash flow conversion percentage</w:t>
            </w:r>
          </w:p>
        </w:tc>
        <w:tc>
          <w:tcPr>
            <w:tcW w:w="200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21.5 %</w:t>
            </w:r>
          </w:p>
        </w:tc>
        <w:tc>
          <w:tcPr>
            <w:tcW w:w="22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w:t>
            </w:r>
          </w:p>
        </w:tc>
      </w:tr>
      <w:tr>
        <w:trPr>
          <w:trHeight w:val="20"/>
        </w:trPr>
        <w:tc>
          <w:tcPr>
            <w:tcW w:w="524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 xml:space="preserve">There have been no material changes to our critical accounting policies and estimates since our Annual Report on Form 10-K for the fiscal year ended October 31, 2025. Refer to Part II, Item 7, "Management’s Discussion and Analysis of Financial Condition and Results of Operations", and Part II, Item 8, Note 1, </w:t>
      </w:r>
      <w:r>
        <w:rPr>
          <w:rFonts w:ascii="Times New Roman" w:cs="Times New Roman" w:eastAsia="Times New Roman" w:hAnsi="Times New Roman"/>
          <w:sz w:val="17"/>
          <w:szCs w:val="17"/>
          <w:i w:val="1"/>
          <w:iCs w:val="1"/>
          <w:color w:val="auto"/>
        </w:rPr>
        <w:t>Summary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Significant Accounting Policies and Related Data</w:t>
      </w:r>
      <w:r>
        <w:rPr>
          <w:rFonts w:ascii="Times New Roman" w:cs="Times New Roman" w:eastAsia="Times New Roman" w:hAnsi="Times New Roman"/>
          <w:sz w:val="17"/>
          <w:szCs w:val="17"/>
          <w:color w:val="auto"/>
        </w:rPr>
        <w:t>, within our Annual Report on Form 10-K for the fiscal year ended October 31, 2025 for a discussion of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critical accounting policies and estimates.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3. QUANTITATIVE AND QUALITATIVE DISCLOSURES ABOUT MARKET RISK</w:t>
      </w:r>
    </w:p>
    <w:p>
      <w:pPr>
        <w:spacing w:after="0" w:line="11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are exposed to market risk stemming from changes in foreign currency exchange rates, interest rates, and commodity costs. We are also exposed to equity market risk pertaining to the trading price of our common stock. Changes in these factors could cause fluctuations in our earnings and cash flows. There have been no material changes to the market risk information regarding equity market risk included in our Annual Report on Form 10-K for the fiscal year ended October 31, 2025. Refer to Part II, Item 7A, "Quantitative and Qualitative Disclosures about Market Risk", within our Annual Report on Form 10-K for the fiscal year ended October 31, 2025 for a complete discussion of our market risk. Refer below for further discussion on foreign currency exchange rate risk, interest rate risk, and commodity cost risk.</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 Exchange Rate Risk</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are exposed to foreign currency exchange rate risk arising from transactions in the normal course of business, such as sales to third-party customers, sales and loans to wholly-owned foreign subsidiaries, costs associated with foreign plant operations, and purchases from suppliers. Our primary foreign currency exchange rate exposures are with the Euro, the Australian dollar, the Canadian dollar, the British pound, the Mexican peso, the Japanese yen, the Chinese renminbi, and the Romanian new leu against the U.S. dollar, as well as the Romanian new leu against the Euro. Because our products are manufactured or sourced primarily from the U.S. and Mexico, a stronger U.S. dollar and Mexican peso generally have a negative impact on our results from operations, while a weaker U.S. dollar and Mexican peso generally have a positive effect.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To reduce our exposure to foreign currency exchange rate risk, we enter into various derivative instruments to hedge against such risk, authorized under a company policy that places controls on these hedging activities, with counterparties that are highly rated financial institutions. Decisions on whether to use such derivative instruments are primarily based on the amount of exposure to the currency involved and an assessment of the near-term market value for each currency. Our worldwide foreign currency exchange rate exposures are reviewed monthly. The gains and losses on our derivative instruments offset the changes in values of the related underlying exposures. Therefore, changes in the values of our derivative instruments are highly correlated with changes in the market values of underlying hedged items both at inception and over the life of the derivative instrument. For additional information regarding our derivative instruments, refer to Note 16, </w:t>
      </w:r>
      <w:r>
        <w:rPr>
          <w:rFonts w:ascii="Times New Roman" w:cs="Times New Roman" w:eastAsia="Times New Roman" w:hAnsi="Times New Roman"/>
          <w:sz w:val="17"/>
          <w:szCs w:val="17"/>
          <w:i w:val="1"/>
          <w:iCs w:val="1"/>
          <w:color w:val="auto"/>
        </w:rPr>
        <w:t>Derivative Instruments and Hedging Activities</w:t>
      </w:r>
      <w:r>
        <w:rPr>
          <w:rFonts w:ascii="Times New Roman" w:cs="Times New Roman" w:eastAsia="Times New Roman" w:hAnsi="Times New Roman"/>
          <w:sz w:val="17"/>
          <w:szCs w:val="17"/>
          <w:color w:val="auto"/>
        </w:rPr>
        <w:t>, in our Notes to Condensed Consolidated Financial Statements included in Part I, Item 1 of this Quarterly Report on Form 10-Q.</w:t>
      </w:r>
    </w:p>
    <w:p>
      <w:pPr>
        <w:spacing w:after="0" w:line="7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foreign currency exchange contracts in the table below have maturity dates in fiscal 2026 through fiscal 2028. All items are non-trading and stated in U.S. dollars. As of January 30, 2026, the average contracted rate, notional amount, fair value, and the gain (loss) at fair value of outstanding derivative instruments were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4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 except average contracted rate)</w:t>
            </w:r>
          </w:p>
        </w:tc>
        <w:tc>
          <w:tcPr>
            <w:tcW w:w="2300" w:type="dxa"/>
            <w:vAlign w:val="bottom"/>
            <w:tcBorders>
              <w:top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auto"/>
              </w:rPr>
              <w:t>Average Contracted</w:t>
            </w:r>
          </w:p>
        </w:tc>
        <w:tc>
          <w:tcPr>
            <w:tcW w:w="1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Notional Amount</w:t>
            </w:r>
          </w:p>
        </w:tc>
        <w:tc>
          <w:tcPr>
            <w:tcW w:w="3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vMerge w:val="restart"/>
          </w:tcPr>
          <w:p>
            <w:pPr>
              <w:jc w:val="right"/>
              <w:ind w:right="298"/>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80" w:type="dxa"/>
            <w:vAlign w:val="bottom"/>
            <w:tcBorders>
              <w:top w:val="single" w:sz="8" w:color="auto"/>
            </w:tcBorders>
            <w:gridSpan w:val="2"/>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Gain (Loss) at Fair</w:t>
            </w:r>
          </w:p>
        </w:tc>
        <w:tc>
          <w:tcPr>
            <w:tcW w:w="0" w:type="dxa"/>
            <w:vAlign w:val="bottom"/>
          </w:tcPr>
          <w:p>
            <w:pPr>
              <w:spacing w:after="0"/>
              <w:rPr>
                <w:sz w:val="1"/>
                <w:szCs w:val="1"/>
                <w:color w:val="auto"/>
              </w:rPr>
            </w:pPr>
          </w:p>
        </w:tc>
      </w:tr>
      <w:tr>
        <w:trPr>
          <w:trHeight w:val="219"/>
        </w:trPr>
        <w:tc>
          <w:tcPr>
            <w:tcW w:w="4460" w:type="dxa"/>
            <w:vAlign w:val="bottom"/>
            <w:tcBorders>
              <w:bottom w:val="single" w:sz="8" w:color="auto"/>
            </w:tcBorders>
            <w:vMerge w:val="continue"/>
          </w:tcPr>
          <w:p>
            <w:pPr>
              <w:spacing w:after="0"/>
              <w:rPr>
                <w:sz w:val="19"/>
                <w:szCs w:val="19"/>
                <w:color w:val="auto"/>
              </w:rPr>
            </w:pPr>
          </w:p>
        </w:tc>
        <w:tc>
          <w:tcPr>
            <w:tcW w:w="230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6"/>
                <w:szCs w:val="16"/>
                <w:b w:val="1"/>
                <w:bCs w:val="1"/>
                <w:color w:val="auto"/>
              </w:rPr>
              <w:t>Rate</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98"/>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21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Buy U.S. dollar/Sell Australian dollar</w:t>
            </w:r>
          </w:p>
        </w:tc>
        <w:tc>
          <w:tcPr>
            <w:tcW w:w="23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0.6600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w:t>
            </w:r>
          </w:p>
        </w:tc>
        <w:tc>
          <w:tcPr>
            <w:tcW w:w="3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95.5</w:t>
            </w:r>
          </w:p>
        </w:tc>
        <w:tc>
          <w:tcPr>
            <w:tcW w:w="3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center"/>
              <w:ind w:left="678"/>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17"/>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Buy U.S. dollar/Sell Canadian dollar</w:t>
            </w:r>
          </w:p>
        </w:tc>
        <w:tc>
          <w:tcPr>
            <w:tcW w:w="23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1.3624</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300" w:type="dxa"/>
            <w:vAlign w:val="bottom"/>
          </w:tcPr>
          <w:p>
            <w:pPr>
              <w:spacing w:after="0"/>
              <w:rPr>
                <w:sz w:val="18"/>
                <w:szCs w:val="18"/>
                <w:color w:val="auto"/>
              </w:rPr>
            </w:pP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50.0</w:t>
            </w:r>
          </w:p>
        </w:tc>
        <w:tc>
          <w:tcPr>
            <w:tcW w:w="360" w:type="dxa"/>
            <w:vAlign w:val="bottom"/>
          </w:tcPr>
          <w:p>
            <w:pPr>
              <w:spacing w:after="0"/>
              <w:rPr>
                <w:sz w:val="18"/>
                <w:szCs w:val="18"/>
                <w:color w:val="auto"/>
              </w:rPr>
            </w:pPr>
          </w:p>
        </w:tc>
        <w:tc>
          <w:tcPr>
            <w:tcW w:w="1120" w:type="dxa"/>
            <w:vAlign w:val="bottom"/>
          </w:tcPr>
          <w:p>
            <w:pPr>
              <w:jc w:val="center"/>
              <w:ind w:left="678"/>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2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Buy U.S. dollar/Sell Euro</w:t>
            </w:r>
          </w:p>
        </w:tc>
        <w:tc>
          <w:tcPr>
            <w:tcW w:w="23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1.1602</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219.3</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209.6</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678"/>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17"/>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Buy U.S. dollar/Sell British pound</w:t>
            </w:r>
          </w:p>
        </w:tc>
        <w:tc>
          <w:tcPr>
            <w:tcW w:w="23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1.3052</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300" w:type="dxa"/>
            <w:vAlign w:val="bottom"/>
          </w:tcPr>
          <w:p>
            <w:pPr>
              <w:spacing w:after="0"/>
              <w:rPr>
                <w:sz w:val="18"/>
                <w:szCs w:val="18"/>
                <w:color w:val="auto"/>
              </w:rPr>
            </w:pP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55.3</w:t>
            </w:r>
          </w:p>
        </w:tc>
        <w:tc>
          <w:tcPr>
            <w:tcW w:w="360" w:type="dxa"/>
            <w:vAlign w:val="bottom"/>
          </w:tcPr>
          <w:p>
            <w:pPr>
              <w:spacing w:after="0"/>
              <w:rPr>
                <w:sz w:val="18"/>
                <w:szCs w:val="18"/>
                <w:color w:val="auto"/>
              </w:rPr>
            </w:pPr>
          </w:p>
        </w:tc>
        <w:tc>
          <w:tcPr>
            <w:tcW w:w="1120" w:type="dxa"/>
            <w:vAlign w:val="bottom"/>
          </w:tcPr>
          <w:p>
            <w:pPr>
              <w:jc w:val="center"/>
              <w:ind w:left="678"/>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2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Buy Mexican peso/Sell U.S. dollar</w:t>
            </w:r>
          </w:p>
        </w:tc>
        <w:tc>
          <w:tcPr>
            <w:tcW w:w="23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20.1712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3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73.5</w:t>
            </w:r>
          </w:p>
        </w:tc>
        <w:tc>
          <w:tcPr>
            <w:tcW w:w="3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center"/>
              <w:ind w:left="718"/>
              <w:spacing w:after="0"/>
              <w:rPr>
                <w:sz w:val="20"/>
                <w:szCs w:val="20"/>
                <w:color w:val="auto"/>
              </w:rPr>
            </w:pPr>
            <w:r>
              <w:rPr>
                <w:rFonts w:ascii="Times New Roman" w:cs="Times New Roman" w:eastAsia="Times New Roman" w:hAnsi="Times New Roman"/>
                <w:sz w:val="16"/>
                <w:szCs w:val="16"/>
                <w:color w:val="auto"/>
                <w:w w:val="99"/>
              </w:rPr>
              <w:t>8.6</w:t>
            </w: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net investment in foreign subsidiaries translated into U.S. dollars is not hedged. Any changes in foreign currency exchange rates would be reflected as a foreign currency translation adjustment, a component of accumulated other comprehensive loss in stockholders’ equity on the Condensed Consolidated Balance Sheets, and would not impact net earnings.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 Risk</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interest rate risk relates primarily to fluctuations in variable interest rates on our revolving credit facility and term loan credit agreements, as well as the potential increase in the fair value of our fixed-rate long-term debt resulting from a potential decrease in interest rates. We generally do not use interest rate swaps to mitigate the impact of fluctuations in interest rates. We have no earnings or cash flow exposure due to interest rate risks on our fixed-rate long-term debt obligations. Our indebtedness as of January 30, 2026 includes $724.3 million of gross fixed-rate long-term debt that is not subject to variable interest rate fluctuations, $200.0 million of gross variable rate debt under our term loan credit agreements, and $150.0 million outstanding under our variable rate revolving credit facility.</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Commodity Cost Risk</w:t>
      </w:r>
    </w:p>
    <w:p>
      <w:pPr>
        <w:spacing w:after="0" w:line="1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Most of the commodities, components, parts, and accessories used in our manufacturing process and end-products, or to be sold as standalone end-products, are exposed to commodity cost changes. These changes may be affected by several factors, including, for example, demand; inflation; deflation; changing prices; foreign currency fluctuations; tariffs; duties; trade regulatory actions; industry actions; and changes to international trade policies, agreements, and/or regulation and competitor activity, including antidumping and countervailing duties on certain products imported from foreign countries, such as certain engines imported into the U.S. from China.</w:t>
      </w:r>
    </w:p>
    <w:p>
      <w:pPr>
        <w:spacing w:after="0" w:line="7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primary cost exposures for commodities, components, parts, and accessories used in our products are with steel, aluminum, petroleum, and natural gas-based resins, linerboard, copper, lead, rubber, engines, transmissions, transaxles, hydraulics, electrification components, and others. Our largest spend categories for commodities, components, parts, and accessories are generally steel, engines, hydraulic components, transmissions, resin, aluminum, and electrification components, all of which we purchase from several suppliers around the world. We generally purchase commodities, components, parts, and accessories based upon market prices that are established with suppliers as part of the purchase process and generally attempt to obtain firm pricing from most of our suppliers for volumes consistent with planned production and estimates of wholesale and retail demand for our products.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any given period, we strategically attempt to mitigate potential unfavorable impact as a result of changes to the cost of commodities, components, parts, and accessories that affect our product lines through our productivity initiatives; however, our productivity initiatives may not be as effective as anticipated depending on macroeconomic cost trends for commodities, components, parts, and accessories costs and/or other factors. Our productivity initiatives include, but are not limited to, collaborating with suppliers, reviewing alternative sourcing options, substituting materials, SKU rationalization, utilizing Lean methods, engaging in internal cost reduction efforts, and utilizing tariff exclusions and duty drawback mechanisms, all as appropriate. When appropriate, we may also increase prices on some of our products to offset changes in the cost of commodities, components, parts, and accessories. To the extent that commodity and component costs increase and we do not have firm pricing from our suppliers, or our suppliers are not able to honor such prices, and/or our productivity initiatives and/or product price increases are less effective than anticipated and/or do not fully offset cost increases, we may experience a decline in our gross margins.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4. CONTROLS AND PROCEDURES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maintain disclosure controls and procedures (as defined in Exchange Act Rules 13a-15(e) and 15d-15(e)) that are designed to provide reasonable assurance that information required to be disclosed by us in the reports we file or submit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principal executive and principal financial officers, or persons performing similar functions,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and we are required to apply our judgment in evaluating the cost-benefit relationship of possible internal controls.</w:t>
      </w:r>
    </w:p>
    <w:p>
      <w:pPr>
        <w:spacing w:after="0" w:line="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Our management evaluated, with the participation of our Chairman of the Board and Chief Executive Officer and our Vice President and Chief Financial Officer, the effectiveness of the design and operation of our disclosure controls and procedures as of the end of the period covered by this Quarterly Report on Form 10-Q. Based on that evaluation, our Chairman of the Board and Chief Executive Officer and our Vice President and Chief Financial Officer concluded that our disclosure controls and procedures were effective as of the end of such period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the Chairman of the Board and Chief Executive Officer and Vice President and Chief Financial Officer, as appropriate, to allow timely decisions regarding required disclosures.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11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There was no change in our internal control over financial reporting that occurred during the three month period ended January 30, 2026 that has materially affected, or is reasonably likely to materially affect, our internal control over financial reporting.</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 LEGAL PROCEEDINGS</w:t>
      </w:r>
    </w:p>
    <w:p>
      <w:pPr>
        <w:spacing w:after="0" w:line="11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From time to time, we are a party to litigation in the ordinary course of business, including claims for punitive, as well as compensatory, damages arising out of the use of our products; litigation and administrative and judicial proceedings with respect to claims involving asbestos and the discharge of hazardous substances into the environment; and commercial disputes, employment and employment-related disputes, and patent litigation cases. For a description of our material legal proceedings, refer to Note 14, </w:t>
      </w:r>
      <w:r>
        <w:rPr>
          <w:rFonts w:ascii="Times New Roman" w:cs="Times New Roman" w:eastAsia="Times New Roman" w:hAnsi="Times New Roman"/>
          <w:sz w:val="17"/>
          <w:szCs w:val="17"/>
          <w:i w:val="1"/>
          <w:iCs w:val="1"/>
          <w:color w:val="auto"/>
        </w:rPr>
        <w:t>Commitments and Contingencies</w:t>
      </w:r>
      <w:r>
        <w:rPr>
          <w:rFonts w:ascii="Times New Roman" w:cs="Times New Roman" w:eastAsia="Times New Roman" w:hAnsi="Times New Roman"/>
          <w:sz w:val="17"/>
          <w:szCs w:val="17"/>
          <w:color w:val="auto"/>
        </w:rPr>
        <w:t>, in our Notes to Condensed Consolidated Financial Statements under the heading "Litigation" included in Part I, Item 1 of this Quarterly Report on Form 10-Q, which is incorporated into this Part II, Item 1 by reference.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1A. RISK FACTORS</w:t>
      </w:r>
    </w:p>
    <w:p>
      <w:pPr>
        <w:spacing w:after="0" w:line="11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are affected by risks specific to us, as well as factors that affect all businesses operating in a global market. The material risk factors known to us that could materially adversely affect our business, reputation, industry, operating results, or financial position or could cause our actual results to differ materially from our anticipated results or other expectations, including those expressed in any forward-looking statement made in this report, are described in our most recently filed Annual Report on Form 10-K, Part I, Item 1A. "Risk Factors." There has been no material change in those risk factors.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 UNREGISTERED SALES OF EQUITY SECURITIES AND USE OF PROCEEDS</w:t>
      </w:r>
    </w:p>
    <w:p>
      <w:pPr>
        <w:spacing w:after="0" w:line="11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Periodically, the company's Board of Directors authorizes the repurchase of shares of the company's common stock in open-market or privately negotiated transactions under the company's stock repurchase program. The stock repurchase program has no expiration date but may be terminated by the company's Board of Directors at any time. Shares of the company's common stock surrendered by employees to satisfy minimum tax withholding obligations upon vesting of certain stock-based compensation awards are not a part of the stock repurchase program. The following table sets forth information with respect to shares of the company's common stock repurchased by the company during each of the three fiscal months in the company's first quarter ended January 30, 2026:</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920" w:type="dxa"/>
            <w:vAlign w:val="bottom"/>
            <w:tcBorders>
              <w:top w:val="single" w:sz="8" w:color="auto"/>
            </w:tcBorders>
          </w:tcPr>
          <w:p>
            <w:pPr>
              <w:spacing w:after="0"/>
              <w:rPr>
                <w:sz w:val="14"/>
                <w:szCs w:val="14"/>
                <w:color w:val="auto"/>
              </w:rPr>
            </w:pPr>
          </w:p>
        </w:tc>
        <w:tc>
          <w:tcPr>
            <w:tcW w:w="21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860" w:type="dxa"/>
            <w:vAlign w:val="bottom"/>
            <w:tcBorders>
              <w:top w:val="single" w:sz="8" w:color="auto"/>
            </w:tcBorders>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7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Maximum Number of</w:t>
            </w:r>
          </w:p>
        </w:tc>
        <w:tc>
          <w:tcPr>
            <w:tcW w:w="0" w:type="dxa"/>
            <w:vAlign w:val="bottom"/>
          </w:tcPr>
          <w:p>
            <w:pPr>
              <w:spacing w:after="0"/>
              <w:rPr>
                <w:sz w:val="1"/>
                <w:szCs w:val="1"/>
                <w:color w:val="auto"/>
              </w:rPr>
            </w:pPr>
          </w:p>
        </w:tc>
      </w:tr>
      <w:tr>
        <w:trPr>
          <w:trHeight w:val="168"/>
        </w:trPr>
        <w:tc>
          <w:tcPr>
            <w:tcW w:w="39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6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w w:val="99"/>
              </w:rPr>
              <w:t>(or Units)</w:t>
            </w:r>
          </w:p>
        </w:tc>
        <w:tc>
          <w:tcPr>
            <w:tcW w:w="1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920" w:type="dxa"/>
            <w:vAlign w:val="bottom"/>
          </w:tcPr>
          <w:p>
            <w:pPr>
              <w:spacing w:after="0"/>
              <w:rPr>
                <w:sz w:val="13"/>
                <w:szCs w:val="13"/>
                <w:color w:val="auto"/>
              </w:rPr>
            </w:pPr>
          </w:p>
        </w:tc>
        <w:tc>
          <w:tcPr>
            <w:tcW w:w="2140" w:type="dxa"/>
            <w:vAlign w:val="bottom"/>
            <w:vMerge w:val="restart"/>
          </w:tcPr>
          <w:p>
            <w:pPr>
              <w:jc w:val="center"/>
              <w:ind w:left="578"/>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Repurchased As</w:t>
            </w:r>
          </w:p>
        </w:tc>
        <w:tc>
          <w:tcPr>
            <w:tcW w:w="17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Shares (or Units) that</w:t>
            </w:r>
          </w:p>
        </w:tc>
        <w:tc>
          <w:tcPr>
            <w:tcW w:w="0" w:type="dxa"/>
            <w:vAlign w:val="bottom"/>
          </w:tcPr>
          <w:p>
            <w:pPr>
              <w:spacing w:after="0"/>
              <w:rPr>
                <w:sz w:val="1"/>
                <w:szCs w:val="1"/>
                <w:color w:val="auto"/>
              </w:rPr>
            </w:pPr>
          </w:p>
        </w:tc>
      </w:tr>
      <w:tr>
        <w:trPr>
          <w:trHeight w:val="168"/>
        </w:trPr>
        <w:tc>
          <w:tcPr>
            <w:tcW w:w="3920" w:type="dxa"/>
            <w:vAlign w:val="bottom"/>
          </w:tcPr>
          <w:p>
            <w:pPr>
              <w:spacing w:after="0"/>
              <w:rPr>
                <w:sz w:val="14"/>
                <w:szCs w:val="14"/>
                <w:color w:val="auto"/>
              </w:rPr>
            </w:pPr>
          </w:p>
        </w:tc>
        <w:tc>
          <w:tcPr>
            <w:tcW w:w="2140" w:type="dxa"/>
            <w:vAlign w:val="bottom"/>
            <w:vMerge w:val="continue"/>
          </w:tcPr>
          <w:p>
            <w:pPr>
              <w:spacing w:after="0"/>
              <w:rPr>
                <w:sz w:val="14"/>
                <w:szCs w:val="14"/>
                <w:color w:val="auto"/>
              </w:rPr>
            </w:pP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Average Price Paid</w:t>
            </w:r>
          </w:p>
        </w:tc>
        <w:tc>
          <w:tcPr>
            <w:tcW w:w="186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Part of Publicly</w:t>
            </w:r>
          </w:p>
        </w:tc>
        <w:tc>
          <w:tcPr>
            <w:tcW w:w="178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May Yet Be</w:t>
            </w:r>
          </w:p>
        </w:tc>
        <w:tc>
          <w:tcPr>
            <w:tcW w:w="0" w:type="dxa"/>
            <w:vAlign w:val="bottom"/>
          </w:tcPr>
          <w:p>
            <w:pPr>
              <w:spacing w:after="0"/>
              <w:rPr>
                <w:sz w:val="1"/>
                <w:szCs w:val="1"/>
                <w:color w:val="auto"/>
              </w:rPr>
            </w:pPr>
          </w:p>
        </w:tc>
      </w:tr>
      <w:tr>
        <w:trPr>
          <w:trHeight w:val="168"/>
        </w:trPr>
        <w:tc>
          <w:tcPr>
            <w:tcW w:w="39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2140" w:type="dxa"/>
            <w:vAlign w:val="bottom"/>
          </w:tcPr>
          <w:p>
            <w:pPr>
              <w:jc w:val="center"/>
              <w:ind w:left="578"/>
              <w:spacing w:after="0" w:line="168" w:lineRule="exact"/>
              <w:rPr>
                <w:sz w:val="20"/>
                <w:szCs w:val="20"/>
                <w:color w:val="auto"/>
              </w:rPr>
            </w:pPr>
            <w:r>
              <w:rPr>
                <w:rFonts w:ascii="Times New Roman" w:cs="Times New Roman" w:eastAsia="Times New Roman" w:hAnsi="Times New Roman"/>
                <w:sz w:val="16"/>
                <w:szCs w:val="16"/>
                <w:b w:val="1"/>
                <w:bCs w:val="1"/>
                <w:color w:val="auto"/>
              </w:rPr>
              <w:t>Shares (or Units)</w:t>
            </w:r>
          </w:p>
        </w:tc>
        <w:tc>
          <w:tcPr>
            <w:tcW w:w="1540" w:type="dxa"/>
            <w:vAlign w:val="bottom"/>
            <w:gridSpan w:val="2"/>
            <w:vMerge w:val="continue"/>
          </w:tcPr>
          <w:p>
            <w:pPr>
              <w:spacing w:after="0"/>
              <w:rPr>
                <w:sz w:val="14"/>
                <w:szCs w:val="14"/>
                <w:color w:val="auto"/>
              </w:rPr>
            </w:pPr>
          </w:p>
        </w:tc>
        <w:tc>
          <w:tcPr>
            <w:tcW w:w="186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Announced Plans or</w:t>
            </w:r>
          </w:p>
        </w:tc>
        <w:tc>
          <w:tcPr>
            <w:tcW w:w="178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Repurchased Under the</w:t>
            </w:r>
          </w:p>
        </w:tc>
        <w:tc>
          <w:tcPr>
            <w:tcW w:w="0" w:type="dxa"/>
            <w:vAlign w:val="bottom"/>
          </w:tcPr>
          <w:p>
            <w:pPr>
              <w:spacing w:after="0"/>
              <w:rPr>
                <w:sz w:val="1"/>
                <w:szCs w:val="1"/>
                <w:color w:val="auto"/>
              </w:rPr>
            </w:pPr>
          </w:p>
        </w:tc>
      </w:tr>
      <w:tr>
        <w:trPr>
          <w:trHeight w:val="220"/>
        </w:trPr>
        <w:tc>
          <w:tcPr>
            <w:tcW w:w="3920" w:type="dxa"/>
            <w:vAlign w:val="bottom"/>
            <w:tcBorders>
              <w:bottom w:val="single" w:sz="8" w:color="auto"/>
            </w:tcBorders>
            <w:vMerge w:val="continue"/>
          </w:tcPr>
          <w:p>
            <w:pPr>
              <w:spacing w:after="0"/>
              <w:rPr>
                <w:sz w:val="19"/>
                <w:szCs w:val="19"/>
                <w:color w:val="auto"/>
              </w:rPr>
            </w:pPr>
          </w:p>
        </w:tc>
        <w:tc>
          <w:tcPr>
            <w:tcW w:w="2140" w:type="dxa"/>
            <w:vAlign w:val="bottom"/>
            <w:tcBorders>
              <w:bottom w:val="single" w:sz="8" w:color="auto"/>
            </w:tcBorders>
          </w:tcPr>
          <w:p>
            <w:pPr>
              <w:jc w:val="center"/>
              <w:ind w:left="578"/>
              <w:spacing w:after="0" w:line="220" w:lineRule="exact"/>
              <w:rPr>
                <w:sz w:val="20"/>
                <w:szCs w:val="20"/>
                <w:color w:val="auto"/>
              </w:rPr>
            </w:pPr>
            <w:r>
              <w:rPr>
                <w:rFonts w:ascii="Times New Roman" w:cs="Times New Roman" w:eastAsia="Times New Roman" w:hAnsi="Times New Roman"/>
                <w:sz w:val="16"/>
                <w:szCs w:val="16"/>
                <w:b w:val="1"/>
                <w:bCs w:val="1"/>
                <w:color w:val="auto"/>
                <w:w w:val="93"/>
              </w:rPr>
              <w:t>Repurchased</w:t>
            </w:r>
            <w:r>
              <w:rPr>
                <w:rFonts w:ascii="Times New Roman" w:cs="Times New Roman" w:eastAsia="Times New Roman" w:hAnsi="Times New Roman"/>
                <w:sz w:val="21"/>
                <w:szCs w:val="21"/>
                <w:b w:val="1"/>
                <w:bCs w:val="1"/>
                <w:color w:val="auto"/>
                <w:w w:val="93"/>
                <w:vertAlign w:val="superscript"/>
              </w:rPr>
              <w:t>1,2,3,4</w:t>
            </w: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per Share (or Unit)</w:t>
            </w:r>
          </w:p>
        </w:tc>
        <w:tc>
          <w:tcPr>
            <w:tcW w:w="1860" w:type="dxa"/>
            <w:vAlign w:val="bottom"/>
            <w:tcBorders>
              <w:bottom w:val="single" w:sz="8" w:color="auto"/>
            </w:tcBorders>
          </w:tcPr>
          <w:p>
            <w:pPr>
              <w:jc w:val="center"/>
              <w:spacing w:after="0" w:line="220" w:lineRule="exact"/>
              <w:rPr>
                <w:sz w:val="20"/>
                <w:szCs w:val="20"/>
                <w:color w:val="auto"/>
              </w:rPr>
            </w:pPr>
            <w:r>
              <w:rPr>
                <w:rFonts w:ascii="Times New Roman" w:cs="Times New Roman" w:eastAsia="Times New Roman" w:hAnsi="Times New Roman"/>
                <w:sz w:val="16"/>
                <w:szCs w:val="16"/>
                <w:b w:val="1"/>
                <w:bCs w:val="1"/>
                <w:color w:val="auto"/>
                <w:w w:val="96"/>
              </w:rPr>
              <w:t>Programs</w:t>
            </w:r>
            <w:r>
              <w:rPr>
                <w:rFonts w:ascii="Times New Roman" w:cs="Times New Roman" w:eastAsia="Times New Roman" w:hAnsi="Times New Roman"/>
                <w:sz w:val="21"/>
                <w:szCs w:val="21"/>
                <w:b w:val="1"/>
                <w:bCs w:val="1"/>
                <w:color w:val="auto"/>
                <w:w w:val="96"/>
                <w:vertAlign w:val="superscript"/>
              </w:rPr>
              <w:t>1,2</w:t>
            </w:r>
          </w:p>
        </w:tc>
        <w:tc>
          <w:tcPr>
            <w:tcW w:w="1780" w:type="dxa"/>
            <w:vAlign w:val="bottom"/>
            <w:tcBorders>
              <w:bottom w:val="single" w:sz="8" w:color="auto"/>
            </w:tcBorders>
          </w:tcPr>
          <w:p>
            <w:pPr>
              <w:jc w:val="center"/>
              <w:spacing w:after="0" w:line="220" w:lineRule="exact"/>
              <w:rPr>
                <w:sz w:val="20"/>
                <w:szCs w:val="20"/>
                <w:color w:val="auto"/>
              </w:rPr>
            </w:pPr>
            <w:r>
              <w:rPr>
                <w:rFonts w:ascii="Times New Roman" w:cs="Times New Roman" w:eastAsia="Times New Roman" w:hAnsi="Times New Roman"/>
                <w:sz w:val="16"/>
                <w:szCs w:val="16"/>
                <w:b w:val="1"/>
                <w:bCs w:val="1"/>
                <w:color w:val="auto"/>
                <w:w w:val="98"/>
              </w:rPr>
              <w:t>Plans or Programs</w:t>
            </w:r>
            <w:r>
              <w:rPr>
                <w:rFonts w:ascii="Times New Roman" w:cs="Times New Roman" w:eastAsia="Times New Roman" w:hAnsi="Times New Roman"/>
                <w:sz w:val="21"/>
                <w:szCs w:val="21"/>
                <w:b w:val="1"/>
                <w:bCs w:val="1"/>
                <w:color w:val="auto"/>
                <w:w w:val="98"/>
                <w:vertAlign w:val="superscript"/>
              </w:rPr>
              <w:t>1,2</w:t>
            </w:r>
          </w:p>
        </w:tc>
        <w:tc>
          <w:tcPr>
            <w:tcW w:w="0" w:type="dxa"/>
            <w:vAlign w:val="bottom"/>
          </w:tcPr>
          <w:p>
            <w:pPr>
              <w:spacing w:after="0"/>
              <w:rPr>
                <w:sz w:val="1"/>
                <w:szCs w:val="1"/>
                <w:color w:val="auto"/>
              </w:rPr>
            </w:pPr>
          </w:p>
        </w:tc>
      </w:tr>
      <w:tr>
        <w:trPr>
          <w:trHeight w:val="213"/>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November 1, 2025 through November 28, 2025</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378"/>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10,391,790</w:t>
            </w:r>
          </w:p>
        </w:tc>
        <w:tc>
          <w:tcPr>
            <w:tcW w:w="0" w:type="dxa"/>
            <w:vAlign w:val="bottom"/>
          </w:tcPr>
          <w:p>
            <w:pPr>
              <w:spacing w:after="0"/>
              <w:rPr>
                <w:sz w:val="1"/>
                <w:szCs w:val="1"/>
                <w:color w:val="auto"/>
              </w:rPr>
            </w:pPr>
          </w:p>
        </w:tc>
      </w:tr>
      <w:tr>
        <w:trPr>
          <w:trHeight w:val="217"/>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November 29, 2025 through January 2, 2026</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443,235</w:t>
            </w:r>
          </w:p>
        </w:tc>
        <w:tc>
          <w:tcPr>
            <w:tcW w:w="620" w:type="dxa"/>
            <w:vAlign w:val="bottom"/>
          </w:tcPr>
          <w:p>
            <w:pPr>
              <w:spacing w:after="0"/>
              <w:rPr>
                <w:sz w:val="18"/>
                <w:szCs w:val="18"/>
                <w:color w:val="auto"/>
              </w:rPr>
            </w:pPr>
          </w:p>
        </w:tc>
        <w:tc>
          <w:tcPr>
            <w:tcW w:w="9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78.96</w:t>
            </w:r>
          </w:p>
        </w:tc>
        <w:tc>
          <w:tcPr>
            <w:tcW w:w="18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443,235</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9,948,555</w:t>
            </w:r>
          </w:p>
        </w:tc>
        <w:tc>
          <w:tcPr>
            <w:tcW w:w="0" w:type="dxa"/>
            <w:vAlign w:val="bottom"/>
          </w:tcPr>
          <w:p>
            <w:pPr>
              <w:spacing w:after="0"/>
              <w:rPr>
                <w:sz w:val="1"/>
                <w:szCs w:val="1"/>
                <w:color w:val="auto"/>
              </w:rPr>
            </w:pPr>
          </w:p>
        </w:tc>
      </w:tr>
      <w:tr>
        <w:trPr>
          <w:trHeight w:val="220"/>
        </w:trPr>
        <w:tc>
          <w:tcPr>
            <w:tcW w:w="3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January 3, 2026 through January 30, 2026</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689,829</w:t>
            </w: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86.98</w:t>
            </w:r>
          </w:p>
        </w:tc>
        <w:tc>
          <w:tcPr>
            <w:tcW w:w="186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688,417</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9,260,138</w:t>
            </w:r>
          </w:p>
        </w:tc>
        <w:tc>
          <w:tcPr>
            <w:tcW w:w="0" w:type="dxa"/>
            <w:vAlign w:val="bottom"/>
          </w:tcPr>
          <w:p>
            <w:pPr>
              <w:spacing w:after="0"/>
              <w:rPr>
                <w:sz w:val="1"/>
                <w:szCs w:val="1"/>
                <w:color w:val="auto"/>
              </w:rPr>
            </w:pPr>
          </w:p>
        </w:tc>
      </w:tr>
      <w:tr>
        <w:trPr>
          <w:trHeight w:val="213"/>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1,133,064</w:t>
            </w:r>
          </w:p>
        </w:tc>
        <w:tc>
          <w:tcPr>
            <w:tcW w:w="62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83.84</w:t>
            </w:r>
          </w:p>
        </w:tc>
        <w:tc>
          <w:tcPr>
            <w:tcW w:w="18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1,131,652</w:t>
            </w:r>
          </w:p>
        </w:tc>
        <w:tc>
          <w:tcPr>
            <w:tcW w:w="1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39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jc w:val="both"/>
        <w:ind w:left="160" w:hanging="157"/>
        <w:spacing w:after="0" w:line="235" w:lineRule="auto"/>
        <w:tabs>
          <w:tab w:leader="none" w:pos="212"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On December 13, 2022, the company’s Board of Directors authorized the repurchase of up to 5,000,000 shares of common stock under the stock repurchase program. The company repurchased 391,790 shares under this tranche of the stock repurchase program during the period indicated above and as a result, no shares remained available to repurchase as of January 30, 2026.</w:t>
      </w:r>
    </w:p>
    <w:p>
      <w:pPr>
        <w:spacing w:after="0" w:line="81" w:lineRule="exact"/>
        <w:rPr>
          <w:sz w:val="20"/>
          <w:szCs w:val="20"/>
          <w:color w:val="auto"/>
        </w:rPr>
      </w:pPr>
    </w:p>
    <w:p>
      <w:pPr>
        <w:jc w:val="both"/>
        <w:ind w:left="160" w:hanging="157"/>
        <w:spacing w:after="0" w:line="229" w:lineRule="auto"/>
        <w:tabs>
          <w:tab w:leader="none" w:pos="186" w:val="left"/>
        </w:tabs>
        <w:numPr>
          <w:ilvl w:val="0"/>
          <w:numId w:val="2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On December 10, 2024, the company’s Board of Directors authorized the repurchase of up to an additional 4,000,000 shares of common stock under the stock repurchase program. The company repurchased 739,862 shares under this tranche of the stock repurchase program during the period indicated above and as a result, 3,260,138 shares remained available to repurchase as of January 30, 2026.</w:t>
      </w:r>
    </w:p>
    <w:p>
      <w:pPr>
        <w:spacing w:after="0" w:line="95" w:lineRule="exact"/>
        <w:rPr>
          <w:sz w:val="20"/>
          <w:szCs w:val="20"/>
          <w:color w:val="auto"/>
        </w:rPr>
      </w:pPr>
    </w:p>
    <w:p>
      <w:pPr>
        <w:ind w:left="160" w:hanging="157"/>
        <w:spacing w:after="0" w:line="220" w:lineRule="auto"/>
        <w:tabs>
          <w:tab w:leader="none" w:pos="148" w:val="left"/>
        </w:tabs>
        <w:numPr>
          <w:ilvl w:val="0"/>
          <w:numId w:val="2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On December 9, 2025, the company’s Board of Directors authorized the repurchase of up to an additional 6,000,000 shares of common stock under the stock repurchase program. No shares of common stock were repurchased under this tranche of the stock repurchase program during the time period indicated above.</w:t>
      </w:r>
    </w:p>
    <w:p>
      <w:pPr>
        <w:spacing w:after="0" w:line="94" w:lineRule="exact"/>
        <w:rPr>
          <w:sz w:val="20"/>
          <w:szCs w:val="20"/>
          <w:color w:val="auto"/>
        </w:rPr>
      </w:pPr>
    </w:p>
    <w:p>
      <w:pPr>
        <w:ind w:left="160" w:hanging="157"/>
        <w:spacing w:after="0" w:line="227" w:lineRule="auto"/>
        <w:tabs>
          <w:tab w:leader="none" w:pos="186" w:val="left"/>
        </w:tabs>
        <w:numPr>
          <w:ilvl w:val="0"/>
          <w:numId w:val="2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1,412 shares of the company’s common stock repurchased in open-market transactions at an average price of $88.70 per share on behalf of a rabbi trust formed to pay benefit obligations of the company to participants in the company's deferred compensation plans. These 1,412 shares were not repurchased under the stock repurchase program.</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5. OTHER INFORMATION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Rule 10b5-1 Plan and Non-Rule 10b5-1 Trading Arrangement Adoptions, Terminations, and Modifications</w:t>
      </w:r>
    </w:p>
    <w:p>
      <w:pPr>
        <w:spacing w:after="0" w:line="119"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During the company’s first quarter ended January 30, 2026, none of its directors or “officers” (as defined in Rule 16a-1(f) under the Exchange Act) adopted or terminated a “Rule 10b5-1 trading arrangement” or “non-Rule 10b5-1 trading arrangement,” as each term is defined in Item 408 of SEC Regulation S-K.</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6. EXHIBITS</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w:t>
            </w:r>
          </w:p>
        </w:tc>
        <w:tc>
          <w:tcPr>
            <w:tcW w:w="128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3540" w:type="dxa"/>
            <w:vAlign w:val="bottom"/>
            <w:tcBorders>
              <w:top w:val="single" w:sz="8" w:color="auto"/>
              <w:bottom w:val="single" w:sz="8" w:color="auto"/>
            </w:tcBorders>
          </w:tcPr>
          <w:p>
            <w:pPr>
              <w:spacing w:after="0"/>
              <w:rPr>
                <w:sz w:val="20"/>
                <w:szCs w:val="20"/>
                <w:color w:val="auto"/>
              </w:rPr>
            </w:pPr>
          </w:p>
        </w:tc>
        <w:tc>
          <w:tcPr>
            <w:tcW w:w="6100" w:type="dxa"/>
            <w:vAlign w:val="bottom"/>
            <w:tcBorders>
              <w:top w:val="single" w:sz="8" w:color="auto"/>
              <w:bottom w:val="single" w:sz="8" w:color="auto"/>
            </w:tcBorders>
            <w:gridSpan w:val="12"/>
          </w:tcPr>
          <w:p>
            <w:pPr>
              <w:ind w:left="84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161"/>
        </w:trPr>
        <w:tc>
          <w:tcPr>
            <w:tcW w:w="380" w:type="dxa"/>
            <w:vAlign w:val="bottom"/>
          </w:tcPr>
          <w:p>
            <w:pPr>
              <w:spacing w:after="0"/>
              <w:rPr>
                <w:sz w:val="13"/>
                <w:szCs w:val="13"/>
                <w:color w:val="auto"/>
              </w:rPr>
            </w:pPr>
          </w:p>
        </w:tc>
        <w:tc>
          <w:tcPr>
            <w:tcW w:w="128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b w:val="1"/>
                <w:bCs w:val="1"/>
                <w:color w:val="auto"/>
              </w:rPr>
              <w:t>2.1</w:t>
            </w:r>
          </w:p>
        </w:tc>
        <w:tc>
          <w:tcPr>
            <w:tcW w:w="9640" w:type="dxa"/>
            <w:vAlign w:val="bottom"/>
            <w:gridSpan w:val="13"/>
          </w:tcPr>
          <w:p>
            <w:pPr>
              <w:spacing w:after="0" w:line="161" w:lineRule="exact"/>
              <w:rPr>
                <w:rFonts w:ascii="Times New Roman" w:cs="Times New Roman" w:eastAsia="Times New Roman" w:hAnsi="Times New Roman"/>
                <w:sz w:val="16"/>
                <w:szCs w:val="16"/>
                <w:color w:val="0000FF"/>
              </w:rPr>
            </w:pPr>
            <w:hyperlink r:id="rId56">
              <w:r>
                <w:rPr>
                  <w:rFonts w:ascii="Times New Roman" w:cs="Times New Roman" w:eastAsia="Times New Roman" w:hAnsi="Times New Roman"/>
                  <w:sz w:val="16"/>
                  <w:szCs w:val="16"/>
                  <w:color w:val="0000FF"/>
                </w:rPr>
                <w:t>Arrangement Agreement, dated as of October 6, 2025, among The Toro Company, Tornado Acquisition Company ULC, and Tornado</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540" w:type="dxa"/>
            <w:vAlign w:val="bottom"/>
            <w:tcBorders>
              <w:top w:val="single" w:sz="8" w:color="0000FF"/>
              <w:bottom w:val="single" w:sz="8" w:color="0000FF"/>
            </w:tcBorders>
            <w:gridSpan w:val="8"/>
          </w:tcPr>
          <w:p>
            <w:pPr>
              <w:spacing w:after="0" w:line="135" w:lineRule="exact"/>
              <w:rPr>
                <w:rFonts w:ascii="Times New Roman" w:cs="Times New Roman" w:eastAsia="Times New Roman" w:hAnsi="Times New Roman"/>
                <w:sz w:val="15"/>
                <w:szCs w:val="15"/>
                <w:color w:val="0000FF"/>
              </w:rPr>
            </w:pPr>
            <w:hyperlink r:id="rId56">
              <w:r>
                <w:rPr>
                  <w:rFonts w:ascii="Times New Roman" w:cs="Times New Roman" w:eastAsia="Times New Roman" w:hAnsi="Times New Roman"/>
                  <w:sz w:val="15"/>
                  <w:szCs w:val="15"/>
                  <w:color w:val="0000FF"/>
                </w:rPr>
                <w:t>Infrastructure Equipment Ltd. (incorporated by reference to Exhibit 2.1 to Registrant’s Current Report on Form 8-K as filed with the Securities</w:t>
              </w:r>
            </w:hyperlink>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600" w:type="dxa"/>
            <w:vAlign w:val="bottom"/>
            <w:gridSpan w:val="11"/>
          </w:tcPr>
          <w:p>
            <w:pPr>
              <w:spacing w:after="0" w:line="148" w:lineRule="exact"/>
              <w:rPr>
                <w:rFonts w:ascii="Times New Roman" w:cs="Times New Roman" w:eastAsia="Times New Roman" w:hAnsi="Times New Roman"/>
                <w:sz w:val="16"/>
                <w:szCs w:val="16"/>
                <w:color w:val="0000FF"/>
              </w:rPr>
            </w:pPr>
            <w:hyperlink r:id="rId56">
              <w:r>
                <w:rPr>
                  <w:rFonts w:ascii="Times New Roman" w:cs="Times New Roman" w:eastAsia="Times New Roman" w:hAnsi="Times New Roman"/>
                  <w:sz w:val="16"/>
                  <w:szCs w:val="16"/>
                  <w:color w:val="0000FF"/>
                </w:rPr>
                <w:t>and Exchange Commission on October 8, 2025, Commission File No. 1-8649).</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3.1 and 4.1</w:t>
            </w:r>
          </w:p>
        </w:tc>
        <w:tc>
          <w:tcPr>
            <w:tcW w:w="354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9640" w:type="dxa"/>
            <w:vAlign w:val="bottom"/>
            <w:gridSpan w:val="13"/>
          </w:tcPr>
          <w:p>
            <w:pPr>
              <w:spacing w:after="0"/>
              <w:rPr>
                <w:rFonts w:ascii="Times New Roman" w:cs="Times New Roman" w:eastAsia="Times New Roman" w:hAnsi="Times New Roman"/>
                <w:sz w:val="16"/>
                <w:szCs w:val="16"/>
                <w:color w:val="0000FF"/>
              </w:rPr>
            </w:pPr>
            <w:hyperlink r:id="rId57">
              <w:r>
                <w:rPr>
                  <w:rFonts w:ascii="Times New Roman" w:cs="Times New Roman" w:eastAsia="Times New Roman" w:hAnsi="Times New Roman"/>
                  <w:sz w:val="16"/>
                  <w:szCs w:val="16"/>
                  <w:color w:val="0000FF"/>
                </w:rPr>
                <w:t>Restated Certificate of Incorporation of The Toro Company (incorporated by reference to Exhibit 3.1 to Registrant’s Current Report on Form 8-K</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820" w:type="dxa"/>
            <w:vAlign w:val="bottom"/>
            <w:tcBorders>
              <w:top w:val="single" w:sz="8" w:color="0000FF"/>
              <w:bottom w:val="single" w:sz="8" w:color="0000FF"/>
            </w:tcBorders>
            <w:gridSpan w:val="4"/>
          </w:tcPr>
          <w:p>
            <w:pPr>
              <w:spacing w:after="0" w:line="135" w:lineRule="exact"/>
              <w:rPr>
                <w:rFonts w:ascii="Times New Roman" w:cs="Times New Roman" w:eastAsia="Times New Roman" w:hAnsi="Times New Roman"/>
                <w:sz w:val="15"/>
                <w:szCs w:val="15"/>
                <w:color w:val="0000FF"/>
              </w:rPr>
            </w:pPr>
            <w:hyperlink r:id="rId57">
              <w:r>
                <w:rPr>
                  <w:rFonts w:ascii="Times New Roman" w:cs="Times New Roman" w:eastAsia="Times New Roman" w:hAnsi="Times New Roman"/>
                  <w:sz w:val="15"/>
                  <w:szCs w:val="15"/>
                  <w:color w:val="0000FF"/>
                </w:rPr>
                <w:t>as filed with the Securities and Exchange Commission on June 18, 2008, Commission File No. 1-8649).</w:t>
              </w:r>
            </w:hyperlink>
          </w:p>
        </w:tc>
        <w:tc>
          <w:tcPr>
            <w:tcW w:w="2740" w:type="dxa"/>
            <w:vAlign w:val="bottom"/>
            <w:tcBorders>
              <w:top w:val="single" w:sz="8" w:color="0000FF"/>
            </w:tcBorders>
            <w:gridSpan w:val="5"/>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3.2 and 4.2</w:t>
            </w:r>
          </w:p>
        </w:tc>
        <w:tc>
          <w:tcPr>
            <w:tcW w:w="9640" w:type="dxa"/>
            <w:vAlign w:val="bottom"/>
            <w:gridSpan w:val="13"/>
          </w:tcPr>
          <w:p>
            <w:pPr>
              <w:spacing w:after="0"/>
              <w:rPr>
                <w:rFonts w:ascii="Times New Roman" w:cs="Times New Roman" w:eastAsia="Times New Roman" w:hAnsi="Times New Roman"/>
                <w:sz w:val="16"/>
                <w:szCs w:val="16"/>
                <w:color w:val="0000FF"/>
              </w:rPr>
            </w:pPr>
            <w:hyperlink r:id="rId58">
              <w:r>
                <w:rPr>
                  <w:rFonts w:ascii="Times New Roman" w:cs="Times New Roman" w:eastAsia="Times New Roman" w:hAnsi="Times New Roman"/>
                  <w:sz w:val="16"/>
                  <w:szCs w:val="16"/>
                  <w:color w:val="0000FF"/>
                </w:rPr>
                <w:t>Certificate of Amendment to Restated Certificate of Incorporation of The Toro Company (incorporated by reference to Exhibit 3.1 to Registrant’s</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620" w:type="dxa"/>
            <w:vAlign w:val="bottom"/>
            <w:tcBorders>
              <w:top w:val="single" w:sz="8" w:color="0000FF"/>
            </w:tcBorders>
            <w:gridSpan w:val="12"/>
          </w:tcPr>
          <w:p>
            <w:pPr>
              <w:spacing w:after="0" w:line="135" w:lineRule="exact"/>
              <w:rPr>
                <w:rFonts w:ascii="Times New Roman" w:cs="Times New Roman" w:eastAsia="Times New Roman" w:hAnsi="Times New Roman"/>
                <w:sz w:val="15"/>
                <w:szCs w:val="15"/>
                <w:color w:val="0000FF"/>
              </w:rPr>
            </w:pPr>
            <w:hyperlink r:id="rId58">
              <w:r>
                <w:rPr>
                  <w:rFonts w:ascii="Times New Roman" w:cs="Times New Roman" w:eastAsia="Times New Roman" w:hAnsi="Times New Roman"/>
                  <w:sz w:val="15"/>
                  <w:szCs w:val="15"/>
                  <w:color w:val="0000FF"/>
                </w:rPr>
                <w:t>Current Report on Form 8-K as filed with the Securities and Exchange Commission on March 13, 2013, Commission File No. 1-8649).</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3.3 and 4.3</w:t>
            </w:r>
          </w:p>
        </w:tc>
        <w:tc>
          <w:tcPr>
            <w:tcW w:w="3540" w:type="dxa"/>
            <w:vAlign w:val="bottom"/>
            <w:shd w:val="clear" w:color="auto" w:fill="0000FF"/>
          </w:tcPr>
          <w:p>
            <w:pPr>
              <w:spacing w:after="0" w:line="20" w:lineRule="exact"/>
              <w:rPr>
                <w:sz w:val="1"/>
                <w:szCs w:val="1"/>
                <w:color w:val="auto"/>
              </w:rPr>
            </w:pPr>
          </w:p>
        </w:tc>
        <w:tc>
          <w:tcPr>
            <w:tcW w:w="3100" w:type="dxa"/>
            <w:vAlign w:val="bottom"/>
            <w:gridSpan w:val="2"/>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9640" w:type="dxa"/>
            <w:vAlign w:val="bottom"/>
            <w:gridSpan w:val="13"/>
          </w:tcPr>
          <w:p>
            <w:pPr>
              <w:spacing w:after="0"/>
              <w:rPr>
                <w:rFonts w:ascii="Times New Roman" w:cs="Times New Roman" w:eastAsia="Times New Roman" w:hAnsi="Times New Roman"/>
                <w:sz w:val="16"/>
                <w:szCs w:val="16"/>
                <w:color w:val="0000FF"/>
              </w:rPr>
            </w:pPr>
            <w:hyperlink r:id="rId59">
              <w:r>
                <w:rPr>
                  <w:rFonts w:ascii="Times New Roman" w:cs="Times New Roman" w:eastAsia="Times New Roman" w:hAnsi="Times New Roman"/>
                  <w:sz w:val="16"/>
                  <w:szCs w:val="16"/>
                  <w:color w:val="0000FF"/>
                </w:rPr>
                <w:t>Amended and Restated Bylaws of The Toro Company (incorporated by reference to Exhibit 3.1 to Registrant’s Current Report on Form 8-K as</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640" w:type="dxa"/>
            <w:vAlign w:val="bottom"/>
            <w:tcBorders>
              <w:top w:val="single" w:sz="8" w:color="0000FF"/>
              <w:bottom w:val="single" w:sz="8" w:color="0000FF"/>
            </w:tcBorders>
            <w:gridSpan w:val="3"/>
          </w:tcPr>
          <w:p>
            <w:pPr>
              <w:spacing w:after="0" w:line="135" w:lineRule="exact"/>
              <w:rPr>
                <w:rFonts w:ascii="Times New Roman" w:cs="Times New Roman" w:eastAsia="Times New Roman" w:hAnsi="Times New Roman"/>
                <w:sz w:val="15"/>
                <w:szCs w:val="15"/>
                <w:color w:val="0000FF"/>
              </w:rPr>
            </w:pPr>
            <w:hyperlink r:id="rId59">
              <w:r>
                <w:rPr>
                  <w:rFonts w:ascii="Times New Roman" w:cs="Times New Roman" w:eastAsia="Times New Roman" w:hAnsi="Times New Roman"/>
                  <w:sz w:val="15"/>
                  <w:szCs w:val="15"/>
                  <w:color w:val="0000FF"/>
                </w:rPr>
                <w:t>filed with the Securities and Exchange Commission on May 30, 2023, Commission File No. 1-8649).</w:t>
              </w:r>
            </w:hyperlink>
          </w:p>
        </w:tc>
        <w:tc>
          <w:tcPr>
            <w:tcW w:w="2980" w:type="dxa"/>
            <w:vAlign w:val="bottom"/>
            <w:tcBorders>
              <w:top w:val="single" w:sz="8" w:color="0000FF"/>
            </w:tcBorders>
            <w:gridSpan w:val="9"/>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31.1</w:t>
            </w:r>
          </w:p>
        </w:tc>
        <w:tc>
          <w:tcPr>
            <w:tcW w:w="964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Rule 13a-14(a) (Section 302 of the Sarbanes-Oxley Act of 2002) (filed herewith).</w:t>
            </w:r>
          </w:p>
        </w:tc>
        <w:tc>
          <w:tcPr>
            <w:tcW w:w="0" w:type="dxa"/>
            <w:vAlign w:val="bottom"/>
          </w:tcPr>
          <w:p>
            <w:pPr>
              <w:spacing w:after="0"/>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31.2</w:t>
            </w:r>
          </w:p>
        </w:tc>
        <w:tc>
          <w:tcPr>
            <w:tcW w:w="87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Rule 13a-14(a) (Section 302 of the Sarbanes-Oxley Act of 2002) (filed herewith).</w:t>
            </w:r>
          </w:p>
        </w:tc>
        <w:tc>
          <w:tcPr>
            <w:tcW w:w="40" w:type="dxa"/>
            <w:vAlign w:val="bottom"/>
            <w:tcBorders>
              <w:top w:val="single" w:sz="8" w:color="0000FF"/>
            </w:tcBorders>
          </w:tcPr>
          <w:p>
            <w:pPr>
              <w:spacing w:after="0"/>
              <w:rPr>
                <w:sz w:val="21"/>
                <w:szCs w:val="21"/>
                <w:color w:val="auto"/>
              </w:rPr>
            </w:pPr>
          </w:p>
        </w:tc>
        <w:tc>
          <w:tcPr>
            <w:tcW w:w="860" w:type="dxa"/>
            <w:vAlign w:val="bottom"/>
            <w:gridSpan w:val="7"/>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32</w:t>
            </w:r>
          </w:p>
        </w:tc>
        <w:tc>
          <w:tcPr>
            <w:tcW w:w="964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and Chief Financial Officer Pursuant to 18 U.S.C. Section 1350, as Adopted Pursuant to Section 906 of</w:t>
            </w: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540" w:type="dxa"/>
            <w:vAlign w:val="bottom"/>
            <w:tcBorders>
              <w:top w:val="single" w:sz="8" w:color="0000FF"/>
              <w:bottom w:val="single" w:sz="8" w:color="0000FF"/>
            </w:tcBorders>
          </w:tcPr>
          <w:p>
            <w:pPr>
              <w:spacing w:after="0" w:line="135" w:lineRule="exact"/>
              <w:rPr>
                <w:sz w:val="20"/>
                <w:szCs w:val="20"/>
                <w:color w:val="auto"/>
              </w:rPr>
            </w:pPr>
            <w:r>
              <w:rPr>
                <w:rFonts w:ascii="Times New Roman" w:cs="Times New Roman" w:eastAsia="Times New Roman" w:hAnsi="Times New Roman"/>
                <w:sz w:val="15"/>
                <w:szCs w:val="15"/>
                <w:color w:val="0000FF"/>
              </w:rPr>
              <w:t>the Sarbanes-Oxley Act of 2002 (furnished herewith).</w:t>
            </w:r>
          </w:p>
        </w:tc>
        <w:tc>
          <w:tcPr>
            <w:tcW w:w="6040" w:type="dxa"/>
            <w:vAlign w:val="bottom"/>
            <w:tcBorders>
              <w:top w:val="single" w:sz="8" w:color="0000FF"/>
            </w:tcBorders>
            <w:gridSpan w:val="9"/>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38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101</w:t>
            </w:r>
          </w:p>
        </w:tc>
        <w:tc>
          <w:tcPr>
            <w:tcW w:w="964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The following financial information from The Toro Company’s Quarterly Report on Form 10-Q for the quarterly period ended January 30, 2026,</w:t>
            </w: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640" w:type="dxa"/>
            <w:vAlign w:val="bottom"/>
            <w:gridSpan w:val="13"/>
          </w:tcPr>
          <w:p>
            <w:pPr>
              <w:spacing w:after="0" w:line="159" w:lineRule="exact"/>
              <w:rPr>
                <w:sz w:val="20"/>
                <w:szCs w:val="20"/>
                <w:color w:val="auto"/>
              </w:rPr>
            </w:pPr>
            <w:r>
              <w:rPr>
                <w:rFonts w:ascii="Times New Roman" w:cs="Times New Roman" w:eastAsia="Times New Roman" w:hAnsi="Times New Roman"/>
                <w:sz w:val="16"/>
                <w:szCs w:val="16"/>
                <w:color w:val="auto"/>
              </w:rPr>
              <w:t>filed with the SEC on March 5, 2026, formatted in Inline eXtensible Business Reporting Language (Inline XBRL): (i) Condensed Consolidated</w:t>
            </w:r>
          </w:p>
        </w:tc>
        <w:tc>
          <w:tcPr>
            <w:tcW w:w="0" w:type="dxa"/>
            <w:vAlign w:val="bottom"/>
          </w:tcPr>
          <w:p>
            <w:pPr>
              <w:spacing w:after="0"/>
              <w:rPr>
                <w:sz w:val="1"/>
                <w:szCs w:val="1"/>
                <w:color w:val="auto"/>
              </w:rPr>
            </w:pPr>
          </w:p>
        </w:tc>
      </w:tr>
      <w:tr>
        <w:trPr>
          <w:trHeight w:val="168"/>
        </w:trPr>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640" w:type="dxa"/>
            <w:vAlign w:val="bottom"/>
            <w:gridSpan w:val="13"/>
          </w:tcPr>
          <w:p>
            <w:pPr>
              <w:spacing w:after="0" w:line="168" w:lineRule="exact"/>
              <w:rPr>
                <w:sz w:val="20"/>
                <w:szCs w:val="20"/>
                <w:color w:val="auto"/>
              </w:rPr>
            </w:pPr>
            <w:r>
              <w:rPr>
                <w:rFonts w:ascii="Times New Roman" w:cs="Times New Roman" w:eastAsia="Times New Roman" w:hAnsi="Times New Roman"/>
                <w:sz w:val="16"/>
                <w:szCs w:val="16"/>
                <w:color w:val="auto"/>
              </w:rPr>
              <w:t>Statements of Earnings for the three month periods ended January 30, 2026 and January 31, 2025, (ii) Condensed Consolidated Statements of</w:t>
            </w:r>
          </w:p>
        </w:tc>
        <w:tc>
          <w:tcPr>
            <w:tcW w:w="0" w:type="dxa"/>
            <w:vAlign w:val="bottom"/>
          </w:tcPr>
          <w:p>
            <w:pPr>
              <w:spacing w:after="0"/>
              <w:rPr>
                <w:sz w:val="1"/>
                <w:szCs w:val="1"/>
                <w:color w:val="auto"/>
              </w:rPr>
            </w:pPr>
          </w:p>
        </w:tc>
      </w:tr>
      <w:tr>
        <w:trPr>
          <w:trHeight w:val="164"/>
        </w:trPr>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640" w:type="dxa"/>
            <w:vAlign w:val="bottom"/>
            <w:gridSpan w:val="13"/>
          </w:tcPr>
          <w:p>
            <w:pPr>
              <w:spacing w:after="0" w:line="164" w:lineRule="exact"/>
              <w:rPr>
                <w:sz w:val="20"/>
                <w:szCs w:val="20"/>
                <w:color w:val="auto"/>
              </w:rPr>
            </w:pPr>
            <w:r>
              <w:rPr>
                <w:rFonts w:ascii="Times New Roman" w:cs="Times New Roman" w:eastAsia="Times New Roman" w:hAnsi="Times New Roman"/>
                <w:sz w:val="16"/>
                <w:szCs w:val="16"/>
                <w:color w:val="auto"/>
              </w:rPr>
              <w:t>Comprehensive Income (Loss) for the three month periods ended January 30, 2026 and January 31, 2025, (iii) Condensed Consolidated Balance</w:t>
            </w: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640" w:type="dxa"/>
            <w:vAlign w:val="bottom"/>
            <w:gridSpan w:val="13"/>
          </w:tcPr>
          <w:p>
            <w:pPr>
              <w:spacing w:after="0" w:line="159" w:lineRule="exact"/>
              <w:rPr>
                <w:sz w:val="20"/>
                <w:szCs w:val="20"/>
                <w:color w:val="auto"/>
              </w:rPr>
            </w:pPr>
            <w:r>
              <w:rPr>
                <w:rFonts w:ascii="Times New Roman" w:cs="Times New Roman" w:eastAsia="Times New Roman" w:hAnsi="Times New Roman"/>
                <w:sz w:val="16"/>
                <w:szCs w:val="16"/>
                <w:color w:val="auto"/>
              </w:rPr>
              <w:t>Sheets as of January 30, 2026, January 31, 2025, and October 31, 2025, (iv) Condensed Consolidated Statement of Cash Flows for the three</w:t>
            </w:r>
          </w:p>
        </w:tc>
        <w:tc>
          <w:tcPr>
            <w:tcW w:w="0" w:type="dxa"/>
            <w:vAlign w:val="bottom"/>
          </w:tcPr>
          <w:p>
            <w:pPr>
              <w:spacing w:after="0"/>
              <w:rPr>
                <w:sz w:val="1"/>
                <w:szCs w:val="1"/>
                <w:color w:val="auto"/>
              </w:rPr>
            </w:pPr>
          </w:p>
        </w:tc>
      </w:tr>
      <w:tr>
        <w:trPr>
          <w:trHeight w:val="168"/>
        </w:trPr>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640" w:type="dxa"/>
            <w:vAlign w:val="bottom"/>
            <w:gridSpan w:val="13"/>
          </w:tcPr>
          <w:p>
            <w:pPr>
              <w:spacing w:after="0" w:line="168" w:lineRule="exact"/>
              <w:rPr>
                <w:sz w:val="20"/>
                <w:szCs w:val="20"/>
                <w:color w:val="auto"/>
              </w:rPr>
            </w:pPr>
            <w:r>
              <w:rPr>
                <w:rFonts w:ascii="Times New Roman" w:cs="Times New Roman" w:eastAsia="Times New Roman" w:hAnsi="Times New Roman"/>
                <w:sz w:val="16"/>
                <w:szCs w:val="16"/>
                <w:color w:val="auto"/>
              </w:rPr>
              <w:t>month periods ended January 30, 2026 and January 31, 2025, (v) Condensed Consolidated Statements of Stockholders' Equity for the three</w:t>
            </w:r>
          </w:p>
        </w:tc>
        <w:tc>
          <w:tcPr>
            <w:tcW w:w="0" w:type="dxa"/>
            <w:vAlign w:val="bottom"/>
          </w:tcPr>
          <w:p>
            <w:pPr>
              <w:spacing w:after="0"/>
              <w:rPr>
                <w:sz w:val="1"/>
                <w:szCs w:val="1"/>
                <w:color w:val="auto"/>
              </w:rPr>
            </w:pPr>
          </w:p>
        </w:tc>
      </w:tr>
      <w:tr>
        <w:trPr>
          <w:trHeight w:val="214"/>
        </w:trPr>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64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month periods ended January 30, 2026 and January 31, 2025, and (vi) Notes to Condensed Consolidated Financial Statements (filed herewith).</w:t>
            </w:r>
          </w:p>
        </w:tc>
        <w:tc>
          <w:tcPr>
            <w:tcW w:w="0" w:type="dxa"/>
            <w:vAlign w:val="bottom"/>
          </w:tcPr>
          <w:p>
            <w:pPr>
              <w:spacing w:after="0"/>
              <w:rPr>
                <w:sz w:val="1"/>
                <w:szCs w:val="1"/>
                <w:color w:val="auto"/>
              </w:rPr>
            </w:pPr>
          </w:p>
        </w:tc>
      </w:tr>
      <w:tr>
        <w:trPr>
          <w:trHeight w:val="271"/>
        </w:trPr>
        <w:tc>
          <w:tcPr>
            <w:tcW w:w="380" w:type="dxa"/>
            <w:vAlign w:val="bottom"/>
          </w:tcPr>
          <w:p>
            <w:pPr>
              <w:spacing w:after="0"/>
              <w:rPr>
                <w:sz w:val="23"/>
                <w:szCs w:val="23"/>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104</w:t>
            </w:r>
          </w:p>
        </w:tc>
        <w:tc>
          <w:tcPr>
            <w:tcW w:w="964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48"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080" w:type="dxa"/>
            <w:vAlign w:val="bottom"/>
          </w:tcPr>
          <w:p>
            <w:pPr>
              <w:spacing w:after="0"/>
              <w:rPr>
                <w:sz w:val="17"/>
                <w:szCs w:val="17"/>
                <w:color w:val="auto"/>
              </w:rPr>
            </w:pPr>
          </w:p>
        </w:tc>
        <w:tc>
          <w:tcPr>
            <w:tcW w:w="8140" w:type="dxa"/>
            <w:vAlign w:val="bottom"/>
            <w:gridSpan w:val="2"/>
          </w:tcPr>
          <w:p>
            <w:pPr>
              <w:jc w:val="center"/>
              <w:ind w:right="2994"/>
              <w:spacing w:after="0"/>
              <w:rPr>
                <w:sz w:val="20"/>
                <w:szCs w:val="20"/>
                <w:color w:val="auto"/>
              </w:rPr>
            </w:pPr>
            <w:r>
              <w:rPr>
                <w:rFonts w:ascii="Times New Roman" w:cs="Times New Roman" w:eastAsia="Times New Roman" w:hAnsi="Times New Roman"/>
                <w:sz w:val="17"/>
                <w:szCs w:val="17"/>
                <w:color w:val="auto"/>
              </w:rPr>
              <w:t>THE TORO COMPANY</w:t>
            </w:r>
          </w:p>
        </w:tc>
      </w:tr>
      <w:tr>
        <w:trPr>
          <w:trHeight w:val="223"/>
        </w:trPr>
        <w:tc>
          <w:tcPr>
            <w:tcW w:w="3080" w:type="dxa"/>
            <w:vAlign w:val="bottom"/>
          </w:tcPr>
          <w:p>
            <w:pPr>
              <w:spacing w:after="0"/>
              <w:rPr>
                <w:sz w:val="19"/>
                <w:szCs w:val="19"/>
                <w:color w:val="auto"/>
              </w:rPr>
            </w:pPr>
          </w:p>
        </w:tc>
        <w:tc>
          <w:tcPr>
            <w:tcW w:w="8140" w:type="dxa"/>
            <w:vAlign w:val="bottom"/>
            <w:gridSpan w:val="2"/>
          </w:tcPr>
          <w:p>
            <w:pPr>
              <w:jc w:val="center"/>
              <w:ind w:right="2994"/>
              <w:spacing w:after="0"/>
              <w:rPr>
                <w:sz w:val="20"/>
                <w:szCs w:val="20"/>
                <w:color w:val="auto"/>
              </w:rPr>
            </w:pPr>
            <w:r>
              <w:rPr>
                <w:rFonts w:ascii="Times New Roman" w:cs="Times New Roman" w:eastAsia="Times New Roman" w:hAnsi="Times New Roman"/>
                <w:sz w:val="17"/>
                <w:szCs w:val="17"/>
                <w:color w:val="auto"/>
              </w:rPr>
              <w:t>(Registrant)</w:t>
            </w:r>
          </w:p>
        </w:tc>
      </w:tr>
      <w:tr>
        <w:trPr>
          <w:trHeight w:val="400"/>
        </w:trPr>
        <w:tc>
          <w:tcPr>
            <w:tcW w:w="3080" w:type="dxa"/>
            <w:vAlign w:val="bottom"/>
          </w:tcPr>
          <w:p>
            <w:pPr>
              <w:spacing w:after="0"/>
              <w:rPr>
                <w:sz w:val="20"/>
                <w:szCs w:val="20"/>
                <w:color w:val="auto"/>
              </w:rPr>
            </w:pPr>
            <w:r>
              <w:rPr>
                <w:rFonts w:ascii="Times New Roman" w:cs="Times New Roman" w:eastAsia="Times New Roman" w:hAnsi="Times New Roman"/>
                <w:sz w:val="17"/>
                <w:szCs w:val="17"/>
                <w:color w:val="auto"/>
              </w:rPr>
              <w:t>Date: March 5, 2026</w:t>
            </w:r>
          </w:p>
        </w:tc>
        <w:tc>
          <w:tcPr>
            <w:tcW w:w="8140" w:type="dxa"/>
            <w:vAlign w:val="bottom"/>
            <w:gridSpan w:val="2"/>
          </w:tcPr>
          <w:p>
            <w:pPr>
              <w:ind w:left="2480"/>
              <w:spacing w:after="0"/>
              <w:rPr>
                <w:sz w:val="20"/>
                <w:szCs w:val="20"/>
                <w:color w:val="auto"/>
              </w:rPr>
            </w:pPr>
            <w:r>
              <w:rPr>
                <w:rFonts w:ascii="Times New Roman" w:cs="Times New Roman" w:eastAsia="Times New Roman" w:hAnsi="Times New Roman"/>
                <w:sz w:val="17"/>
                <w:szCs w:val="17"/>
                <w:color w:val="auto"/>
              </w:rPr>
              <w:t>By:   /s/ Angela C. Drake</w:t>
            </w:r>
          </w:p>
        </w:tc>
      </w:tr>
      <w:tr>
        <w:trPr>
          <w:trHeight w:val="209"/>
        </w:trPr>
        <w:tc>
          <w:tcPr>
            <w:tcW w:w="30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Angela C. Drake</w:t>
            </w:r>
          </w:p>
        </w:tc>
      </w:tr>
      <w:tr>
        <w:trPr>
          <w:trHeight w:val="220"/>
        </w:trPr>
        <w:tc>
          <w:tcPr>
            <w:tcW w:w="30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Vice President and Chief Financial Officer</w:t>
            </w:r>
          </w:p>
        </w:tc>
      </w:tr>
      <w:tr>
        <w:trPr>
          <w:trHeight w:val="171"/>
        </w:trPr>
        <w:tc>
          <w:tcPr>
            <w:tcW w:w="30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160" w:type="dxa"/>
            <w:vAlign w:val="bottom"/>
          </w:tcPr>
          <w:p>
            <w:pPr>
              <w:ind w:left="20"/>
              <w:spacing w:after="0" w:line="172" w:lineRule="exact"/>
              <w:rPr>
                <w:sz w:val="20"/>
                <w:szCs w:val="20"/>
                <w:color w:val="auto"/>
              </w:rPr>
            </w:pPr>
            <w:r>
              <w:rPr>
                <w:rFonts w:ascii="Times New Roman" w:cs="Times New Roman" w:eastAsia="Times New Roman" w:hAnsi="Times New Roman"/>
                <w:sz w:val="17"/>
                <w:szCs w:val="17"/>
                <w:color w:val="auto"/>
              </w:rPr>
              <w:t>(duly authorized officer, principal financial officer, and principal</w:t>
            </w:r>
          </w:p>
        </w:tc>
      </w:tr>
      <w:tr>
        <w:trPr>
          <w:trHeight w:val="223"/>
        </w:trPr>
        <w:tc>
          <w:tcPr>
            <w:tcW w:w="30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ectPr>
          <w:pgSz w:w="11900" w:h="16838" w:orient="portrait"/>
          <w:cols w:equalWidth="0" w:num="1">
            <w:col w:w="11240"/>
          </w:cols>
          <w:pgMar w:left="320" w:top="123"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Executive Officer Pursuant to Rule 13a-14(a)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Richard M. Olson, certify that:</w:t>
      </w:r>
    </w:p>
    <w:p>
      <w:pPr>
        <w:spacing w:after="0" w:line="218" w:lineRule="exact"/>
        <w:rPr>
          <w:sz w:val="20"/>
          <w:szCs w:val="20"/>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The Toro Company;</w:t>
      </w:r>
    </w:p>
    <w:p>
      <w:pPr>
        <w:spacing w:after="0" w:line="217" w:lineRule="exact"/>
        <w:rPr>
          <w:rFonts w:ascii="Times New Roman" w:cs="Times New Roman" w:eastAsia="Times New Roman" w:hAnsi="Times New Roman"/>
          <w:sz w:val="17"/>
          <w:szCs w:val="17"/>
          <w:color w:val="auto"/>
        </w:rPr>
      </w:pPr>
    </w:p>
    <w:p>
      <w:pPr>
        <w:ind w:left="620" w:hanging="307"/>
        <w:spacing w:after="0" w:line="288" w:lineRule="auto"/>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Times New Roman" w:cs="Times New Roman" w:eastAsia="Times New Roman" w:hAnsi="Times New Roman"/>
          <w:sz w:val="17"/>
          <w:szCs w:val="17"/>
          <w:color w:val="auto"/>
        </w:rPr>
      </w:pPr>
    </w:p>
    <w:p>
      <w:pPr>
        <w:ind w:left="620" w:hanging="307"/>
        <w:spacing w:after="0" w:line="288" w:lineRule="auto"/>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7" w:lineRule="exact"/>
        <w:rPr>
          <w:rFonts w:ascii="Times New Roman" w:cs="Times New Roman" w:eastAsia="Times New Roman" w:hAnsi="Times New Roman"/>
          <w:sz w:val="17"/>
          <w:szCs w:val="17"/>
          <w:color w:val="auto"/>
        </w:rPr>
      </w:pPr>
    </w:p>
    <w:p>
      <w:pPr>
        <w:jc w:val="both"/>
        <w:ind w:left="1240" w:hanging="306"/>
        <w:spacing w:after="0" w:line="260" w:lineRule="auto"/>
        <w:tabs>
          <w:tab w:leader="none" w:pos="123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7"/>
          <w:szCs w:val="17"/>
          <w:color w:val="auto"/>
        </w:rPr>
      </w:pPr>
    </w:p>
    <w:p>
      <w:pPr>
        <w:jc w:val="both"/>
        <w:ind w:left="1240" w:hanging="306"/>
        <w:spacing w:after="0" w:line="253" w:lineRule="auto"/>
        <w:tabs>
          <w:tab w:leader="none" w:pos="124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7"/>
          <w:szCs w:val="17"/>
          <w:color w:val="auto"/>
        </w:rPr>
      </w:pPr>
    </w:p>
    <w:p>
      <w:pPr>
        <w:ind w:left="1240" w:hanging="306"/>
        <w:spacing w:after="0" w:line="253" w:lineRule="auto"/>
        <w:tabs>
          <w:tab w:leader="none" w:pos="123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jc w:val="both"/>
        <w:ind w:left="1240" w:hanging="306"/>
        <w:spacing w:after="0" w:line="260" w:lineRule="auto"/>
        <w:tabs>
          <w:tab w:leader="none" w:pos="124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Times New Roman" w:cs="Times New Roman" w:eastAsia="Times New Roman" w:hAnsi="Times New Roman"/>
          <w:sz w:val="17"/>
          <w:szCs w:val="17"/>
          <w:color w:val="auto"/>
        </w:rPr>
      </w:pPr>
    </w:p>
    <w:p>
      <w:pPr>
        <w:ind w:left="620" w:hanging="307"/>
        <w:spacing w:after="0" w:line="288" w:lineRule="auto"/>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Times New Roman" w:cs="Times New Roman" w:eastAsia="Times New Roman" w:hAnsi="Times New Roman"/>
          <w:sz w:val="17"/>
          <w:szCs w:val="17"/>
          <w:color w:val="auto"/>
        </w:rPr>
      </w:pPr>
    </w:p>
    <w:p>
      <w:pPr>
        <w:ind w:left="1240" w:hanging="306"/>
        <w:spacing w:after="0" w:line="264" w:lineRule="auto"/>
        <w:tabs>
          <w:tab w:leader="none" w:pos="123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40" w:hanging="306"/>
        <w:spacing w:after="0" w:line="267" w:lineRule="auto"/>
        <w:tabs>
          <w:tab w:leader="none" w:pos="124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March 5, 2026</w:t>
      </w: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9457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294576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Richard M. Olson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Chairman of the Board and Chief Executive Officer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313055</wp:posOffset>
            </wp:positionV>
            <wp:extent cx="7138035"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Financial Officer Pursuant to Rule 13a-14(a)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Angela C. Drake, certify that:</w:t>
      </w:r>
    </w:p>
    <w:p>
      <w:pPr>
        <w:spacing w:after="0" w:line="218" w:lineRule="exact"/>
        <w:rPr>
          <w:sz w:val="20"/>
          <w:szCs w:val="20"/>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The Toro Company;</w:t>
      </w:r>
    </w:p>
    <w:p>
      <w:pPr>
        <w:spacing w:after="0" w:line="243" w:lineRule="exact"/>
        <w:rPr>
          <w:rFonts w:ascii="Times New Roman" w:cs="Times New Roman" w:eastAsia="Times New Roman" w:hAnsi="Times New Roman"/>
          <w:sz w:val="17"/>
          <w:szCs w:val="17"/>
          <w:color w:val="auto"/>
        </w:rPr>
      </w:pPr>
    </w:p>
    <w:p>
      <w:pPr>
        <w:ind w:left="620" w:hanging="307"/>
        <w:spacing w:after="0" w:line="288" w:lineRule="auto"/>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7"/>
          <w:szCs w:val="17"/>
          <w:color w:val="auto"/>
        </w:rPr>
      </w:pPr>
    </w:p>
    <w:p>
      <w:pPr>
        <w:ind w:left="620" w:hanging="307"/>
        <w:spacing w:after="0" w:line="288" w:lineRule="auto"/>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3" w:lineRule="exact"/>
        <w:rPr>
          <w:rFonts w:ascii="Times New Roman" w:cs="Times New Roman" w:eastAsia="Times New Roman" w:hAnsi="Times New Roman"/>
          <w:sz w:val="17"/>
          <w:szCs w:val="17"/>
          <w:color w:val="auto"/>
        </w:rPr>
      </w:pPr>
    </w:p>
    <w:p>
      <w:pPr>
        <w:jc w:val="both"/>
        <w:ind w:left="1240" w:hanging="306"/>
        <w:spacing w:after="0" w:line="260" w:lineRule="auto"/>
        <w:tabs>
          <w:tab w:leader="none" w:pos="123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7"/>
          <w:szCs w:val="17"/>
          <w:color w:val="auto"/>
        </w:rPr>
      </w:pPr>
    </w:p>
    <w:p>
      <w:pPr>
        <w:jc w:val="both"/>
        <w:ind w:left="1240" w:hanging="306"/>
        <w:spacing w:after="0" w:line="253" w:lineRule="auto"/>
        <w:tabs>
          <w:tab w:leader="none" w:pos="124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7"/>
          <w:szCs w:val="17"/>
          <w:color w:val="auto"/>
        </w:rPr>
      </w:pPr>
    </w:p>
    <w:p>
      <w:pPr>
        <w:ind w:left="1240" w:hanging="306"/>
        <w:spacing w:after="0" w:line="253" w:lineRule="auto"/>
        <w:tabs>
          <w:tab w:leader="none" w:pos="123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jc w:val="both"/>
        <w:ind w:left="1240" w:hanging="306"/>
        <w:spacing w:after="0" w:line="260" w:lineRule="auto"/>
        <w:tabs>
          <w:tab w:leader="none" w:pos="124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Times New Roman" w:cs="Times New Roman" w:eastAsia="Times New Roman" w:hAnsi="Times New Roman"/>
          <w:sz w:val="17"/>
          <w:szCs w:val="17"/>
          <w:color w:val="auto"/>
        </w:rPr>
      </w:pPr>
    </w:p>
    <w:p>
      <w:pPr>
        <w:ind w:left="620" w:hanging="307"/>
        <w:spacing w:after="0" w:line="288" w:lineRule="auto"/>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Times New Roman" w:cs="Times New Roman" w:eastAsia="Times New Roman" w:hAnsi="Times New Roman"/>
          <w:sz w:val="17"/>
          <w:szCs w:val="17"/>
          <w:color w:val="auto"/>
        </w:rPr>
      </w:pPr>
    </w:p>
    <w:p>
      <w:pPr>
        <w:ind w:left="1240" w:hanging="306"/>
        <w:spacing w:after="0" w:line="264" w:lineRule="auto"/>
        <w:tabs>
          <w:tab w:leader="none" w:pos="123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40" w:hanging="306"/>
        <w:spacing w:after="0" w:line="267" w:lineRule="auto"/>
        <w:tabs>
          <w:tab w:leader="none" w:pos="124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March 5, 2026</w:t>
      </w: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Angela C. Drake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9457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294576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Angela C. Drake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Vice President and Chief Financial Officer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313055</wp:posOffset>
            </wp:positionV>
            <wp:extent cx="7138035" cy="1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7"/>
          <w:szCs w:val="17"/>
          <w:b w:val="1"/>
          <w:bCs w:val="1"/>
          <w:color w:val="auto"/>
        </w:rPr>
        <w:t>Exhibit 32</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SECTION 906 OF THE SARBANES-OXLEY ACT OF 2002</w:t>
      </w:r>
    </w:p>
    <w:p>
      <w:pPr>
        <w:spacing w:after="0" w:line="20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 connection with the Quarterly Report on Form 10-Q for the quarterly period ended January 30, 2026 of The Toro Company (the “Company”) as filed with the Securities and Exchange Commission on the date hereof (the “Report”), we, Richard M. Olson, Chairman of the Board and Chief Executive Officer of the Company, and Angela C. Drake, Vice President and Chief Financial Officer of the Company, certify, pursuant to 18 U.S.C. Section 1350, as adopted pursuant to Section 906 of the Sarbanes-Oxley Act of 2002, that to our knowledge:</w:t>
      </w:r>
    </w:p>
    <w:p>
      <w:pPr>
        <w:spacing w:after="0" w:line="170" w:lineRule="exact"/>
        <w:rPr>
          <w:sz w:val="20"/>
          <w:szCs w:val="20"/>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9457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294576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Richard M. Olson</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Chairman of the Board and Chief Executive Officer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March 5, 2026</w:t>
      </w: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Angela C. Drake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9457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294576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Angela C. Drake</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Vice President and Chief Financial Officer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March 5, 2026</w:t>
      </w:r>
    </w:p>
    <w:p>
      <w:pPr>
        <w:spacing w:after="0" w:line="200" w:lineRule="exact"/>
        <w:rPr>
          <w:sz w:val="20"/>
          <w:szCs w:val="20"/>
          <w:color w:val="auto"/>
        </w:rPr>
      </w:pPr>
    </w:p>
    <w:p>
      <w:pPr>
        <w:spacing w:after="0" w:line="263"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7138035" cy="16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sectPr>
      <w:pgSz w:w="11900" w:h="16838" w:orient="portrait"/>
      <w:cols w:equalWidth="0" w:num="1">
        <w:col w:w="11240"/>
      </w:cols>
      <w:pgMar w:left="320" w:top="8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1"/>
      <w:numFmt w:val="bullet"/>
      <w:start w:val="1"/>
    </w:lvl>
  </w:abstractNum>
  <w:abstractNum w:abstractNumId="5">
    <w:nsid w:val="6B68079A"/>
    <w:multiLevelType w:val="hybridMultilevel"/>
    <w:lvl w:ilvl="0">
      <w:lvlJc w:val="left"/>
      <w:lvlText w:val="2"/>
      <w:numFmt w:val="bullet"/>
      <w:start w:val="1"/>
    </w:lvl>
  </w:abstractNum>
  <w:abstractNum w:abstractNumId="6">
    <w:nsid w:val="4E6AFB66"/>
    <w:multiLevelType w:val="hybridMultilevel"/>
    <w:lvl w:ilvl="0">
      <w:lvlJc w:val="left"/>
      <w:lvlText w:val="1"/>
      <w:numFmt w:val="bullet"/>
      <w:start w:val="1"/>
    </w:lvl>
  </w:abstractNum>
  <w:abstractNum w:abstractNumId="7">
    <w:nsid w:val="25E45D32"/>
    <w:multiLevelType w:val="hybridMultilevel"/>
    <w:lvl w:ilvl="0">
      <w:lvlJc w:val="left"/>
      <w:lvlText w:val="2"/>
      <w:numFmt w:val="bullet"/>
      <w:start w:val="1"/>
    </w:lvl>
  </w:abstractNum>
  <w:abstractNum w:abstractNumId="8">
    <w:nsid w:val="519B500D"/>
    <w:multiLevelType w:val="hybridMultilevel"/>
    <w:lvl w:ilvl="0">
      <w:lvlJc w:val="left"/>
      <w:lvlText w:val="3"/>
      <w:numFmt w:val="bullet"/>
      <w:start w:val="1"/>
    </w:lvl>
  </w:abstractNum>
  <w:abstractNum w:abstractNumId="9">
    <w:nsid w:val="431BD7B7"/>
    <w:multiLevelType w:val="hybridMultilevel"/>
    <w:lvl w:ilvl="0">
      <w:lvlJc w:val="left"/>
      <w:lvlText w:val="4"/>
      <w:numFmt w:val="bullet"/>
      <w:start w:val="1"/>
    </w:lvl>
  </w:abstractNum>
  <w:abstractNum w:abstractNumId="10">
    <w:nsid w:val="3F2DBA31"/>
    <w:multiLevelType w:val="hybridMultilevel"/>
    <w:lvl w:ilvl="0">
      <w:lvlJc w:val="left"/>
      <w:lvlText w:val="5"/>
      <w:numFmt w:val="bullet"/>
      <w:start w:val="1"/>
    </w:lvl>
  </w:abstractNum>
  <w:abstractNum w:abstractNumId="11">
    <w:nsid w:val="7C83E458"/>
    <w:multiLevelType w:val="hybridMultilevel"/>
    <w:lvl w:ilvl="0">
      <w:lvlJc w:val="left"/>
      <w:lvlText w:val="7"/>
      <w:numFmt w:val="bullet"/>
      <w:start w:val="1"/>
    </w:lvl>
  </w:abstractNum>
  <w:abstractNum w:abstractNumId="12">
    <w:nsid w:val="257130A3"/>
    <w:multiLevelType w:val="hybridMultilevel"/>
    <w:lvl w:ilvl="0">
      <w:lvlJc w:val="left"/>
      <w:lvlText w:val="8"/>
      <w:numFmt w:val="bullet"/>
      <w:start w:val="1"/>
    </w:lvl>
  </w:abstractNum>
  <w:abstractNum w:abstractNumId="13">
    <w:nsid w:val="62BBD95A"/>
    <w:multiLevelType w:val="hybridMultilevel"/>
    <w:lvl w:ilvl="0">
      <w:lvlJc w:val="left"/>
      <w:lvlText w:val="9"/>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1"/>
      <w:numFmt w:val="bullet"/>
      <w:start w:val="1"/>
    </w:lvl>
  </w:abstractNum>
  <w:abstractNum w:abstractNumId="16">
    <w:nsid w:val="333AB105"/>
    <w:multiLevelType w:val="hybridMultilevel"/>
    <w:lvl w:ilvl="0">
      <w:lvlJc w:val="left"/>
      <w:lvlText w:val="1"/>
      <w:numFmt w:val="bullet"/>
      <w:start w:val="1"/>
    </w:lvl>
  </w:abstractNum>
  <w:abstractNum w:abstractNumId="17">
    <w:nsid w:val="721DA317"/>
    <w:multiLevelType w:val="hybridMultilevel"/>
    <w:lvl w:ilvl="0">
      <w:lvlJc w:val="left"/>
      <w:lvlText w:val="2"/>
      <w:numFmt w:val="bullet"/>
      <w:start w:val="1"/>
    </w:lvl>
  </w:abstractNum>
  <w:abstractNum w:abstractNumId="18">
    <w:nsid w:val="2443A858"/>
    <w:multiLevelType w:val="hybridMultilevel"/>
    <w:lvl w:ilvl="0">
      <w:lvlJc w:val="left"/>
      <w:lvlText w:val="3"/>
      <w:numFmt w:val="bullet"/>
      <w:start w:val="1"/>
    </w:lvl>
  </w:abstractNum>
  <w:abstractNum w:abstractNumId="19">
    <w:nsid w:val="2D1D5AE9"/>
    <w:multiLevelType w:val="hybridMultilevel"/>
    <w:lvl w:ilvl="0">
      <w:lvlJc w:val="left"/>
      <w:lvlText w:val="1"/>
      <w:numFmt w:val="bullet"/>
      <w:start w:val="1"/>
    </w:lvl>
  </w:abstractNum>
  <w:abstractNum w:abstractNumId="20">
    <w:nsid w:val="6763845E"/>
    <w:multiLevelType w:val="hybridMultilevel"/>
    <w:lvl w:ilvl="0">
      <w:lvlJc w:val="left"/>
      <w:lvlText w:val="2"/>
      <w:numFmt w:val="bullet"/>
      <w:start w:val="1"/>
    </w:lvl>
  </w:abstractNum>
  <w:abstractNum w:abstractNumId="21">
    <w:nsid w:val="75A2A8D4"/>
    <w:multiLevelType w:val="hybridMultilevel"/>
    <w:lvl w:ilvl="0">
      <w:lvlJc w:val="left"/>
      <w:lvlText w:val="3"/>
      <w:numFmt w:val="bullet"/>
      <w:start w:val="1"/>
    </w:lvl>
  </w:abstractNum>
  <w:abstractNum w:abstractNumId="22">
    <w:nsid w:val="8EDBDAB"/>
    <w:multiLevelType w:val="hybridMultilevel"/>
    <w:lvl w:ilvl="0">
      <w:lvlJc w:val="left"/>
      <w:lvlText w:val="4"/>
      <w:numFmt w:val="bullet"/>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56" Type="http://schemas.openxmlformats.org/officeDocument/2006/relationships/hyperlink" Target="https://www.sec.gov/Archives/edgar/data/737758/000162828025044620/cyclonearrangementagreement.htm" TargetMode="External"/><Relationship Id="rId57" Type="http://schemas.openxmlformats.org/officeDocument/2006/relationships/hyperlink" Target="https://www.sec.gov/Archives/edgar/data/737758/000073775808000033/form8-k06172008exhibitcert.htm" TargetMode="External"/><Relationship Id="rId58" Type="http://schemas.openxmlformats.org/officeDocument/2006/relationships/hyperlink" Target="https://www.sec.gov/Archives/edgar/data/737758/000119312513105223/d501846dex31.htm" TargetMode="External"/><Relationship Id="rId59" Type="http://schemas.openxmlformats.org/officeDocument/2006/relationships/hyperlink" Target="https://www.sec.gov/Archives/edgar/data/737758/000114036123027141/brhc20053547_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2026-03-05T11:21:45Z</dcterms:created>
  <dcterms:modified xsi:type="dcterms:W3CDTF">2026-03-05T11:21:45Z</dcterms:modified>
</cp:coreProperties>
</file>