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May 2, 2025</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May 29, 2025 was 98,685,272.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generally relate to our future performance and may include, among others, statements relating to our anticipated operating results, liquidity requirements, and financial condition and current trends and uncertainties; the anticipated impacts of elevated field inventory levels and backlog, global supply chain disruptions, the inflationary environment, the imposition, or threat of imposition, of tariffs, governmental budget cuts, current wars and international sanctions and geopolitical tensions, tight labor markets and other macroeconomic factors; our business strategies, priorities, goals, and commitments; acquisitions and any impairment, restructuring, or other charges resulting therefrom;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lead to impairment and other charges and otherwise adversely affect our operating results and financial condition;</w:t>
      </w:r>
    </w:p>
    <w:p>
      <w:pPr>
        <w:spacing w:after="0" w:line="6"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legal and regulatory uncertainty or conflicts, including actions taken or which may be taken, such as reductions in governmental spending; monetary policy; political, geopolitical, trade, or other issues in the United States or internationally, including increased tariffs or trade wars;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businesses and its impact on demand for our products and our working capital;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 including as a result of recent tariffs;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distribution channel customers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and to address material issues both identified and not uncovered during our due diligence review,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 including in particular, a potential future impairment charge associated with the indefinite-lived Spartan trade name intangible asset;</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leverage new, expanded or emerging markets, such as the broadband and digital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 or geographic mix;</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Amplifying Maximum Productivity (“AMP”) initiative, in the time periods or in the magnitude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 and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environmental, health and safety laws and regulations as well as the impact of increased scrutiny on our sustainability practices, our ability to meet our sustainability company goals, and public perceptions that our products are not environmentally friendly or that our practices are not sustainable.</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Securities and Exchange Commission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1,317.9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1,349.0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881.2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896.0</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1,540.6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1,553.4</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436.7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453.0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772.3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261.9</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265.4</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519.7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174.8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187.6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252.6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r>
      <w:tr>
        <w:trPr>
          <w:trHeight w:val="21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6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168.7</w:t>
            </w:r>
          </w:p>
        </w:tc>
        <w:tc>
          <w:tcPr>
            <w:tcW w:w="2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179.2</w:t>
            </w:r>
          </w:p>
        </w:tc>
        <w:tc>
          <w:tcPr>
            <w:tcW w:w="2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234.8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3"/>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
        </w:trPr>
        <w:tc>
          <w:tcPr>
            <w:tcW w:w="5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17"/>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earnings per share of common stock</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73"/>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17"/>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73"/>
        </w:trPr>
        <w:tc>
          <w:tcPr>
            <w:tcW w:w="5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104.4</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90"/>
        </w:trPr>
        <w:tc>
          <w:tcPr>
            <w:tcW w:w="5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17"/>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4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104.9</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7"/>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instruments, net of tax of $(4.1); $0.4; $(1.6); $(1.5), respectively</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7"/>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2"/>
        </w:trPr>
        <w:tc>
          <w:tcPr>
            <w:tcW w:w="5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176.5</w:t>
            </w:r>
          </w:p>
        </w:tc>
        <w:tc>
          <w:tcPr>
            <w:tcW w:w="3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188.8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602.5</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623.1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1,119.8</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1,105.0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80.1</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1,978.9</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2,019.2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635.8</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637.8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450.8</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450.7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487.3</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522.7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110.9</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117.3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51.2</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58.6</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14.6</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3,788.1</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3,852.2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Borders>
              <w:top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516.0</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512.4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536.7</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503.2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18.5</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1,091.2</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1,048.7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1,077.1</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1,003.3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96.2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103.2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300" w:type="dxa"/>
            <w:vAlign w:val="bottom"/>
          </w:tcPr>
          <w:p>
            <w:pPr>
              <w:spacing w:after="0"/>
              <w:rPr>
                <w:sz w:val="13"/>
                <w:szCs w:val="13"/>
                <w:color w:val="auto"/>
              </w:rPr>
            </w:pPr>
          </w:p>
        </w:tc>
        <w:tc>
          <w:tcPr>
            <w:tcW w:w="144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144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99,013,499 shares as of May 2, 2025, 103,974,051 shares as of May 3, 2024,</w:t>
            </w:r>
          </w:p>
        </w:tc>
        <w:tc>
          <w:tcPr>
            <w:tcW w:w="3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99.0</w:t>
            </w:r>
          </w:p>
        </w:tc>
        <w:tc>
          <w:tcPr>
            <w:tcW w:w="3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101,472,125 shares as of October 31, 2024</w:t>
            </w:r>
          </w:p>
        </w:tc>
        <w:tc>
          <w:tcPr>
            <w:tcW w:w="3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1,419.6</w:t>
            </w:r>
          </w:p>
        </w:tc>
        <w:tc>
          <w:tcPr>
            <w:tcW w:w="30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1,476.6</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1,651.4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3,788.1</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3,852.2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189.6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r>
      <w:tr>
        <w:trPr>
          <w:trHeight w:val="22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finance affiliate, net</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7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7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7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59.5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20"/>
        </w:trPr>
        <w:tc>
          <w:tcPr>
            <w:tcW w:w="6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7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123.1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73"/>
        </w:trPr>
        <w:tc>
          <w:tcPr>
            <w:tcW w:w="696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1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Proceeds from divestitures</w:t>
            </w:r>
          </w:p>
        </w:tc>
        <w:tc>
          <w:tcPr>
            <w:tcW w:w="1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7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73"/>
        </w:trPr>
        <w:tc>
          <w:tcPr>
            <w:tcW w:w="69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0"/>
        </w:trPr>
        <w:tc>
          <w:tcPr>
            <w:tcW w:w="696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Borrowings under debt arrangements</w:t>
            </w:r>
            <w:r>
              <w:rPr>
                <w:rFonts w:ascii="Times New Roman" w:cs="Times New Roman" w:eastAsia="Times New Roman" w:hAnsi="Times New Roman"/>
                <w:sz w:val="21"/>
                <w:szCs w:val="21"/>
                <w:color w:val="auto"/>
                <w:vertAlign w:val="superscript"/>
              </w:rPr>
              <w:t>1</w:t>
            </w:r>
          </w:p>
        </w:tc>
        <w:tc>
          <w:tcPr>
            <w:tcW w:w="172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740.0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20"/>
        </w:trPr>
        <w:tc>
          <w:tcPr>
            <w:tcW w:w="696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Repayments under debt arrangements</w:t>
            </w:r>
            <w:r>
              <w:rPr>
                <w:rFonts w:ascii="Times New Roman" w:cs="Times New Roman" w:eastAsia="Times New Roman" w:hAnsi="Times New Roman"/>
                <w:sz w:val="21"/>
                <w:szCs w:val="21"/>
                <w:color w:val="auto"/>
                <w:vertAlign w:val="superscript"/>
              </w:rPr>
              <w:t>1</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7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7"/>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17"/>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6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7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73"/>
        </w:trPr>
        <w:tc>
          <w:tcPr>
            <w:tcW w:w="6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17"/>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7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73"/>
        </w:trPr>
        <w:tc>
          <w:tcPr>
            <w:tcW w:w="6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17"/>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7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199.5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38"/>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3"/>
        <w:spacing w:after="0" w:line="220" w:lineRule="auto"/>
        <w:tabs>
          <w:tab w:leader="none" w:pos="10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used in financing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100.3</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1,414.5</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$0.38 per share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27,424 shares of common stock under stock-based compensation</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5.4</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1,313,640 shares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136.8</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99.0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1,419.6</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101.5</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1,496.4</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$0.76 per share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123,753 shares of common stock under stock-based compensation</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plans, less contribution of 8,673 shares of common stock to a deferred</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trust</w:t>
            </w: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9.8</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2,573,705 shares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189.6</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99.0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1,419.6</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104.0</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1,478.9</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$0.36 per share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75,784 shares of common stock under stock-based compensation</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6.9</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115,274 shares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144.8</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104.0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103.8</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1,444.1</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$0.72 per share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58"/>
        </w:trPr>
        <w:tc>
          <w:tcPr>
            <w:tcW w:w="52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323,921 shares of common stock under stock-based compensation</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less contribution of 54,526 shares to a deferred compensation trust</w:t>
            </w: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15.3</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138,829 shares of 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4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209.7</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104.0</w:t>
            </w:r>
          </w:p>
        </w:tc>
        <w:tc>
          <w:tcPr>
            <w:tcW w:w="2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1,583.2</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2"/>
        </w:trPr>
        <w:tc>
          <w:tcPr>
            <w:tcW w:w="5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 2025</w:t>
      </w:r>
    </w:p>
    <w:p>
      <w:pPr>
        <w:spacing w:after="0" w:line="332"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six months ended May 2, 2025 cannot be annualized to determine the expected results for the fiscal year ending October 31, 2025.</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2024.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ASU No. 2024-03, Income Statement—Reporting Comprehensive Income— 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Condensed Consolidated Financial Statements and related disclosures.</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 guidance will become effective for the company's fiscal 2025 annual period, and interim periods beginning with the first quarter of fiscal 2026. The company is currently evaluating the impact of this new standard on its Condensed Consolidated Financial Statements and related disclosures.</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Condensed Consolidated Financial Statements. For additional information regarding the company's supplier finance program,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700" w:hanging="679"/>
        <w:spacing w:after="0"/>
        <w:tabs>
          <w:tab w:leader="none" w:pos="7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Acquisitions &amp; Divestitures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Distributor Acquisition</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February 3, 2025, during the second quarter of fiscal 2025, the company completed the acquisition of certain technology assets and substantially all of the assets of, and assumed certain liabilities for, a U.S. based distributor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second quarter of fiscal 2025. Additional purchase accounting disclosures have been omitted due to immateriality of this acquisition in relation to the company's Consolidated Financial Condition and Results of Operations.</w:t>
      </w:r>
    </w:p>
    <w:p>
      <w:pPr>
        <w:spacing w:after="0" w:line="97"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determination is based on the manner in which the company's CODM organizes segments for making operating and investment decisions and assessing performance. The company has identified nine operating segments which are aggregated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2, 2025</w:t>
            </w:r>
          </w:p>
        </w:tc>
        <w:tc>
          <w:tcPr>
            <w:tcW w:w="17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9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w:t>
            </w: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96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73"/>
        </w:trPr>
        <w:tc>
          <w:tcPr>
            <w:tcW w:w="4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2, 2025</w:t>
            </w:r>
          </w:p>
        </w:tc>
        <w:tc>
          <w:tcPr>
            <w:tcW w:w="1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11.6</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2,312.9</w:t>
            </w: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1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422.8</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3,788.1</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3, 2024</w:t>
            </w:r>
          </w:p>
        </w:tc>
        <w:tc>
          <w:tcPr>
            <w:tcW w:w="17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9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7.8</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96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73"/>
        </w:trPr>
        <w:tc>
          <w:tcPr>
            <w:tcW w:w="4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3, 2024</w:t>
            </w:r>
          </w:p>
        </w:tc>
        <w:tc>
          <w:tcPr>
            <w:tcW w:w="1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13.1</w:t>
            </w:r>
          </w:p>
        </w:tc>
        <w:tc>
          <w:tcPr>
            <w:tcW w:w="3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1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r>
      <w:tr>
        <w:trPr>
          <w:trHeight w:val="21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414.5</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3,852.2</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center"/>
              <w:ind w:left="578"/>
              <w:spacing w:after="0"/>
              <w:rPr>
                <w:sz w:val="20"/>
                <w:szCs w:val="20"/>
                <w:color w:val="auto"/>
              </w:rPr>
            </w:pPr>
            <w:r>
              <w:rPr>
                <w:rFonts w:ascii="Times New Roman" w:cs="Times New Roman" w:eastAsia="Times New Roman" w:hAnsi="Times New Roman"/>
                <w:sz w:val="16"/>
                <w:szCs w:val="16"/>
                <w:color w:val="auto"/>
              </w:rPr>
              <w:t>(46.2)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center"/>
              <w:ind w:left="558"/>
              <w:spacing w:after="0"/>
              <w:rPr>
                <w:sz w:val="20"/>
                <w:szCs w:val="20"/>
                <w:color w:val="auto"/>
              </w:rPr>
            </w:pPr>
            <w:r>
              <w:rPr>
                <w:rFonts w:ascii="Times New Roman" w:cs="Times New Roman" w:eastAsia="Times New Roman" w:hAnsi="Times New Roman"/>
                <w:sz w:val="16"/>
                <w:szCs w:val="16"/>
                <w:color w:val="auto"/>
                <w:w w:val="98"/>
              </w:rPr>
              <w:t>(42.5)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1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1180" w:type="dxa"/>
            <w:vAlign w:val="bottom"/>
          </w:tcPr>
          <w:p>
            <w:pPr>
              <w:jc w:val="center"/>
              <w:ind w:left="578"/>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8"/>
                <w:szCs w:val="18"/>
                <w:color w:val="auto"/>
              </w:rPr>
            </w:pPr>
          </w:p>
        </w:tc>
        <w:tc>
          <w:tcPr>
            <w:tcW w:w="1180" w:type="dxa"/>
            <w:vAlign w:val="bottom"/>
          </w:tcPr>
          <w:p>
            <w:pPr>
              <w:jc w:val="center"/>
              <w:ind w:left="558"/>
              <w:spacing w:after="0"/>
              <w:rPr>
                <w:sz w:val="20"/>
                <w:szCs w:val="20"/>
                <w:color w:val="auto"/>
              </w:rPr>
            </w:pPr>
            <w:r>
              <w:rPr>
                <w:rFonts w:ascii="Times New Roman" w:cs="Times New Roman" w:eastAsia="Times New Roman" w:hAnsi="Times New Roman"/>
                <w:sz w:val="16"/>
                <w:szCs w:val="16"/>
                <w:color w:val="auto"/>
                <w:w w:val="98"/>
              </w:rPr>
              <w:t>(16.7)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62"/>
        </w:trPr>
        <w:tc>
          <w:tcPr>
            <w:tcW w:w="55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from the company's wholly-owned domestic distribution company and</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center"/>
              <w:ind w:left="598"/>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center"/>
              <w:ind w:left="578"/>
              <w:spacing w:after="0"/>
              <w:rPr>
                <w:sz w:val="20"/>
                <w:szCs w:val="20"/>
                <w:color w:val="auto"/>
              </w:rPr>
            </w:pPr>
            <w:r>
              <w:rPr>
                <w:rFonts w:ascii="Times New Roman" w:cs="Times New Roman" w:eastAsia="Times New Roman" w:hAnsi="Times New Roman"/>
                <w:sz w:val="16"/>
                <w:szCs w:val="16"/>
                <w:color w:val="auto"/>
                <w:w w:val="99"/>
              </w:rPr>
              <w:t>11.6</w:t>
            </w: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5"/>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center"/>
              <w:ind w:left="578"/>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center"/>
              <w:ind w:left="558"/>
              <w:spacing w:after="0"/>
              <w:rPr>
                <w:sz w:val="20"/>
                <w:szCs w:val="20"/>
                <w:color w:val="auto"/>
              </w:rPr>
            </w:pPr>
            <w:r>
              <w:rPr>
                <w:rFonts w:ascii="Times New Roman" w:cs="Times New Roman" w:eastAsia="Times New Roman" w:hAnsi="Times New Roman"/>
                <w:sz w:val="16"/>
                <w:szCs w:val="16"/>
                <w:color w:val="auto"/>
                <w:w w:val="98"/>
              </w:rPr>
              <w:t>(47.6)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0" w:type="dxa"/>
            <w:vAlign w:val="bottom"/>
          </w:tcPr>
          <w:p>
            <w:pPr>
              <w:spacing w:after="0"/>
              <w:rPr>
                <w:sz w:val="1"/>
                <w:szCs w:val="1"/>
                <w:color w:val="auto"/>
              </w:rPr>
            </w:pPr>
          </w:p>
        </w:tc>
      </w:tr>
      <w:tr>
        <w:trPr>
          <w:trHeight w:val="22"/>
        </w:trPr>
        <w:tc>
          <w:tcPr>
            <w:tcW w:w="5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2, 2025</w:t>
            </w:r>
          </w:p>
        </w:tc>
        <w:tc>
          <w:tcPr>
            <w:tcW w:w="17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1,194.1</w:t>
            </w:r>
          </w:p>
        </w:tc>
      </w:tr>
      <w:tr>
        <w:trPr>
          <w:trHeight w:val="220"/>
        </w:trPr>
        <w:tc>
          <w:tcPr>
            <w:tcW w:w="4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7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1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6.4</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1,317.9</w:t>
            </w: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0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6.4</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1,062.3</w:t>
            </w:r>
          </w:p>
        </w:tc>
      </w:tr>
      <w:tr>
        <w:trPr>
          <w:trHeight w:val="220"/>
        </w:trPr>
        <w:tc>
          <w:tcPr>
            <w:tcW w:w="4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7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1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6.4</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1,317.9</w:t>
            </w: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2, 2025</w:t>
            </w:r>
          </w:p>
        </w:tc>
        <w:tc>
          <w:tcPr>
            <w:tcW w:w="18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9.1</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2,080.3</w:t>
            </w:r>
          </w:p>
        </w:tc>
      </w:tr>
      <w:tr>
        <w:trPr>
          <w:trHeight w:val="22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8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2,312.9</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3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11.6</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1,845.9</w:t>
            </w:r>
          </w:p>
        </w:tc>
      </w:tr>
      <w:tr>
        <w:trPr>
          <w:trHeight w:val="22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8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r>
      <w:tr>
        <w:trPr>
          <w:trHeight w:val="2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2,312.9</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May 3, 2024</w:t>
            </w:r>
          </w:p>
        </w:tc>
        <w:tc>
          <w:tcPr>
            <w:tcW w:w="17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1,216.5</w:t>
            </w:r>
          </w:p>
        </w:tc>
      </w:tr>
      <w:tr>
        <w:trPr>
          <w:trHeight w:val="220"/>
        </w:trPr>
        <w:tc>
          <w:tcPr>
            <w:tcW w:w="4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7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21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40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7.8</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r>
      <w:tr>
        <w:trPr>
          <w:trHeight w:val="220"/>
        </w:trPr>
        <w:tc>
          <w:tcPr>
            <w:tcW w:w="4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7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r>
      <w:tr>
        <w:trPr>
          <w:trHeight w:val="21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7.8</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w:t>
            </w: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May 3, 2024</w:t>
            </w:r>
          </w:p>
        </w:tc>
        <w:tc>
          <w:tcPr>
            <w:tcW w:w="18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2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8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r>
      <w:tr>
        <w:trPr>
          <w:trHeight w:val="2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13.1</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8"/>
        </w:trPr>
        <w:tc>
          <w:tcPr>
            <w:tcW w:w="3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000" w:type="dxa"/>
            <w:vAlign w:val="bottom"/>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13.1</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1,877.7</w:t>
            </w:r>
          </w:p>
        </w:tc>
      </w:tr>
      <w:tr>
        <w:trPr>
          <w:trHeight w:val="22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8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2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0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13.1</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May 2, 2025 and October 31, 2024, $29.6 million and $29.6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May 2, 2025, the company recognized $5.3 million and $8.5 million, respectively, of the October 31, 2024 deferred revenue balance within net sales in the Condensed Consolidated Statements of Earnings. The company expects to recognize approximately $5.6 million of the October 31, 2024 deferred revenue amount within net sales throughout the remainder of fiscal 2025, $8.0 million in fiscal 2026, and $7.5 million thereafter.</w:t>
      </w:r>
    </w:p>
    <w:p>
      <w:pPr>
        <w:spacing w:after="0" w:line="102"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six months of fiscal 2025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6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r>
      <w:tr>
        <w:trPr>
          <w:trHeight w:val="21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8"/>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May 2, 2025, May 3, 2024, and October 31, 2024 were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center"/>
              <w:ind w:left="1558"/>
              <w:spacing w:after="0" w:line="16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080" w:type="dxa"/>
            <w:vAlign w:val="bottom"/>
          </w:tcPr>
          <w:p>
            <w:pPr>
              <w:jc w:val="center"/>
              <w:ind w:left="1558"/>
              <w:spacing w:after="0" w:line="168" w:lineRule="exact"/>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jc w:val="center"/>
              <w:ind w:left="1558"/>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0" w:type="dxa"/>
            <w:vAlign w:val="bottom"/>
          </w:tcPr>
          <w:p>
            <w:pPr>
              <w:spacing w:after="0"/>
              <w:rPr>
                <w:sz w:val="1"/>
                <w:szCs w:val="1"/>
                <w:color w:val="auto"/>
              </w:rPr>
            </w:pPr>
          </w:p>
        </w:tc>
      </w:tr>
      <w:tr>
        <w:trPr>
          <w:trHeight w:val="238"/>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center"/>
              <w:ind w:left="1558"/>
              <w:spacing w:after="0" w:line="16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3080" w:type="dxa"/>
            <w:vAlign w:val="bottom"/>
          </w:tcPr>
          <w:p>
            <w:pPr>
              <w:jc w:val="center"/>
              <w:ind w:left="1558"/>
              <w:spacing w:after="0" w:line="168" w:lineRule="exact"/>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jc w:val="center"/>
              <w:ind w:left="1558"/>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center"/>
              <w:ind w:left="1558"/>
              <w:spacing w:after="0" w:line="16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3080" w:type="dxa"/>
            <w:vAlign w:val="bottom"/>
          </w:tcPr>
          <w:p>
            <w:pPr>
              <w:jc w:val="center"/>
              <w:ind w:left="1558"/>
              <w:spacing w:after="0" w:line="168" w:lineRule="exact"/>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jc w:val="center"/>
              <w:ind w:left="1558"/>
              <w:spacing w:after="0"/>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for finite-lived intangibles assets for the three and six months ended May 2, 2025 was $7.7 million and $15.6 million, respectively. Amortization expense for finite-lived intangibles assets for the three and six months ended May 3, 2024 was $8.8 million and $17.5 million, respectively. As of May 2, 2025, estimated amortization expense for the remainder of fiscal 2025 and succeeding fiscal years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9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2, 2025</w:t>
            </w:r>
          </w:p>
        </w:tc>
      </w:tr>
      <w:tr>
        <w:trPr>
          <w:trHeight w:val="21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9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1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2"/>
        </w:trPr>
        <w:tc>
          <w:tcPr>
            <w:tcW w:w="62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5140" w:type="dxa"/>
            <w:vAlign w:val="bottom"/>
            <w:tcBorders>
              <w:bottom w:val="single" w:sz="8" w:color="auto"/>
            </w:tcBorders>
            <w:gridSpan w:val="2"/>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175.0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2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2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2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2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124.3</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22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1,097.1</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1,016.8</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1,077.1</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May 2, 2025, principal payments required on the company's outstanding indebtedness, based on the maturity dates defined within the company's debt arrangements, for the remainder of fiscal 2025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0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2, 2025</w:t>
            </w: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0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4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2"/>
        </w:trPr>
        <w:tc>
          <w:tcPr>
            <w:tcW w:w="608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1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394.6</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898.6</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1,293.2</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173.4</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38"/>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1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1,119.8</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73.5</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0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373.1</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677.3</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200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232.8</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0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99.3</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149.8</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1,605.8</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970.0</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942.8</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635.8</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3"/>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r>
      <w:tr>
        <w:trPr>
          <w:trHeight w:val="21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88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26.6</w:t>
            </w:r>
          </w:p>
        </w:tc>
        <w:tc>
          <w:tcPr>
            <w:tcW w:w="22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44.9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7"/>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8"/>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Joint Venture</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May 2, 2025, May 3, 2024 and October 31, 2024 was $51.2 million, $51.7 million, and $49.2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9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8"/>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six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Borders>
              <w:top w:val="single" w:sz="8" w:color="auto"/>
              <w:bottom w:val="single" w:sz="8" w:color="auto"/>
            </w:tcBorders>
          </w:tcPr>
          <w:p>
            <w:pPr>
              <w:spacing w:after="0"/>
              <w:rPr>
                <w:sz w:val="20"/>
                <w:szCs w:val="20"/>
                <w:color w:val="auto"/>
              </w:rPr>
            </w:pPr>
          </w:p>
        </w:tc>
        <w:tc>
          <w:tcPr>
            <w:tcW w:w="3700" w:type="dxa"/>
            <w:vAlign w:val="bottom"/>
            <w:tcBorders>
              <w:top w:val="single" w:sz="8" w:color="auto"/>
              <w:bottom w:val="single" w:sz="8" w:color="auto"/>
            </w:tcBorders>
          </w:tcPr>
          <w:p>
            <w:pPr>
              <w:ind w:left="254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4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21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0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6.42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6.37</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00" w:type="dxa"/>
            <w:vAlign w:val="bottom"/>
          </w:tcPr>
          <w:p>
            <w:pPr>
              <w:jc w:val="center"/>
              <w:ind w:left="2078"/>
              <w:spacing w:after="0"/>
              <w:rPr>
                <w:sz w:val="20"/>
                <w:szCs w:val="20"/>
                <w:color w:val="auto"/>
              </w:rPr>
            </w:pPr>
            <w:r>
              <w:rPr>
                <w:rFonts w:ascii="Times New Roman" w:cs="Times New Roman" w:eastAsia="Times New Roman" w:hAnsi="Times New Roman"/>
                <w:sz w:val="16"/>
                <w:szCs w:val="16"/>
                <w:color w:val="auto"/>
              </w:rPr>
              <w:t>28.08%</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26.75%</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00" w:type="dxa"/>
            <w:vAlign w:val="bottom"/>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4.47%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3.94%</w:t>
            </w: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00" w:type="dxa"/>
            <w:vAlign w:val="bottom"/>
          </w:tcPr>
          <w:p>
            <w:pPr>
              <w:jc w:val="center"/>
              <w:ind w:left="2078"/>
              <w:spacing w:after="0"/>
              <w:rPr>
                <w:sz w:val="20"/>
                <w:szCs w:val="20"/>
                <w:color w:val="auto"/>
              </w:rPr>
            </w:pPr>
            <w:r>
              <w:rPr>
                <w:rFonts w:ascii="Times New Roman" w:cs="Times New Roman" w:eastAsia="Times New Roman" w:hAnsi="Times New Roman"/>
                <w:sz w:val="16"/>
                <w:szCs w:val="16"/>
                <w:color w:val="auto"/>
              </w:rPr>
              <w:t>1.43%</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w:t>
            </w:r>
          </w:p>
        </w:tc>
      </w:tr>
      <w:tr>
        <w:trPr>
          <w:trHeight w:val="22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00" w:type="dxa"/>
            <w:vAlign w:val="bottom"/>
            <w:tcBorders>
              <w:bottom w:val="single" w:sz="8" w:color="auto"/>
            </w:tcBorders>
            <w:shd w:val="clear" w:color="auto" w:fill="CCEEFF"/>
          </w:tcPr>
          <w:p>
            <w:pPr>
              <w:jc w:val="center"/>
              <w:ind w:left="2078"/>
              <w:spacing w:after="0"/>
              <w:rPr>
                <w:sz w:val="20"/>
                <w:szCs w:val="20"/>
                <w:color w:val="auto"/>
              </w:rPr>
            </w:pPr>
            <w:r>
              <w:rPr>
                <w:rFonts w:ascii="Times New Roman" w:cs="Times New Roman" w:eastAsia="Times New Roman" w:hAnsi="Times New Roman"/>
                <w:sz w:val="16"/>
                <w:szCs w:val="16"/>
                <w:color w:val="auto"/>
              </w:rPr>
              <w:t>$25.53</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$30.40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but may also be granted throughout the fiscal year in connection with hiring, mid-year promotions, leadership transition, or retention, as needed and applicable.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six months of fiscal 2025 and 2024 was $80.05 and $99.60,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six months of fiscal 2025 and 2024 was $78.48 and $97.99,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first six months of fiscal 2025 and 2024, 8,808 and 7,544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quarter of fiscal 2025 and 2024.</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84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8"/>
                <w:szCs w:val="18"/>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8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42.0</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and six month periods ended May 2, 2025 and May 3, 2024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9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Pr>
          <w:p>
            <w:pPr>
              <w:spacing w:after="0"/>
              <w:rPr>
                <w:sz w:val="19"/>
                <w:szCs w:val="19"/>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2025</w:t>
            </w:r>
          </w:p>
        </w:tc>
        <w:tc>
          <w:tcPr>
            <w:tcW w:w="8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43.8</w:t>
            </w:r>
          </w:p>
        </w:tc>
        <w:tc>
          <w:tcPr>
            <w:tcW w:w="3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(14.8)</w:t>
            </w:r>
          </w:p>
        </w:tc>
        <w:tc>
          <w:tcPr>
            <w:tcW w:w="32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center"/>
              <w:ind w:left="738"/>
              <w:spacing w:after="0"/>
              <w:rPr>
                <w:sz w:val="20"/>
                <w:szCs w:val="20"/>
                <w:color w:val="auto"/>
              </w:rPr>
            </w:pPr>
            <w:r>
              <w:rPr>
                <w:rFonts w:ascii="Times New Roman" w:cs="Times New Roman" w:eastAsia="Times New Roman" w:hAnsi="Times New Roman"/>
                <w:sz w:val="16"/>
                <w:szCs w:val="16"/>
                <w:color w:val="auto"/>
                <w:w w:val="99"/>
              </w:rPr>
              <w:t>9.9</w:t>
            </w:r>
          </w:p>
        </w:tc>
        <w:tc>
          <w:tcPr>
            <w:tcW w:w="360" w:type="dxa"/>
            <w:vAlign w:val="bottom"/>
          </w:tcPr>
          <w:p>
            <w:pPr>
              <w:spacing w:after="0"/>
              <w:rPr>
                <w:sz w:val="18"/>
                <w:szCs w:val="18"/>
                <w:color w:val="auto"/>
              </w:rPr>
            </w:pPr>
          </w:p>
        </w:tc>
        <w:tc>
          <w:tcPr>
            <w:tcW w:w="1100" w:type="dxa"/>
            <w:vAlign w:val="bottom"/>
          </w:tcPr>
          <w:p>
            <w:pPr>
              <w:jc w:val="center"/>
              <w:ind w:left="658"/>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7"/>
              </w:rPr>
              <w:t>(0.3)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(14.8)</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9"/>
              </w:rPr>
              <w:t>9.6</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29.0</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8.7</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5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9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Pr>
          <w:p>
            <w:pPr>
              <w:spacing w:after="0"/>
              <w:rPr>
                <w:sz w:val="19"/>
                <w:szCs w:val="19"/>
                <w:color w:val="auto"/>
              </w:rPr>
            </w:pPr>
          </w:p>
        </w:tc>
        <w:tc>
          <w:tcPr>
            <w:tcW w:w="1300" w:type="dxa"/>
            <w:vAlign w:val="bottom"/>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w:t>
            </w:r>
          </w:p>
        </w:tc>
        <w:tc>
          <w:tcPr>
            <w:tcW w:w="8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33.9</w:t>
            </w:r>
          </w:p>
        </w:tc>
        <w:tc>
          <w:tcPr>
            <w:tcW w:w="3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7.8</w:t>
            </w:r>
          </w:p>
        </w:tc>
        <w:tc>
          <w:tcPr>
            <w:tcW w:w="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center"/>
              <w:ind w:left="738"/>
              <w:spacing w:after="0"/>
              <w:rPr>
                <w:sz w:val="20"/>
                <w:szCs w:val="20"/>
                <w:color w:val="auto"/>
              </w:rPr>
            </w:pPr>
            <w:r>
              <w:rPr>
                <w:rFonts w:ascii="Times New Roman" w:cs="Times New Roman" w:eastAsia="Times New Roman" w:hAnsi="Times New Roman"/>
                <w:sz w:val="16"/>
                <w:szCs w:val="16"/>
                <w:color w:val="auto"/>
                <w:w w:val="99"/>
              </w:rPr>
              <w:t>2.6</w:t>
            </w:r>
          </w:p>
        </w:tc>
        <w:tc>
          <w:tcPr>
            <w:tcW w:w="360" w:type="dxa"/>
            <w:vAlign w:val="bottom"/>
          </w:tcPr>
          <w:p>
            <w:pPr>
              <w:spacing w:after="0"/>
              <w:rPr>
                <w:sz w:val="18"/>
                <w:szCs w:val="18"/>
                <w:color w:val="auto"/>
              </w:rPr>
            </w:pPr>
          </w:p>
        </w:tc>
        <w:tc>
          <w:tcPr>
            <w:tcW w:w="1100" w:type="dxa"/>
            <w:vAlign w:val="bottom"/>
          </w:tcPr>
          <w:p>
            <w:pPr>
              <w:jc w:val="center"/>
              <w:ind w:left="658"/>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7"/>
              </w:rPr>
              <w:t>(1.7)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9"/>
              </w:rPr>
              <w:t>0.9</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2, 2025</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29.0</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8.7</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ind w:right="17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840" w:type="dxa"/>
            <w:vAlign w:val="bottom"/>
          </w:tcPr>
          <w:p>
            <w:pPr>
              <w:spacing w:after="0"/>
              <w:rPr>
                <w:sz w:val="18"/>
                <w:szCs w:val="18"/>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center"/>
              <w:ind w:left="778"/>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Pr>
          <w:p>
            <w:pPr>
              <w:spacing w:after="0"/>
              <w:rPr>
                <w:sz w:val="18"/>
                <w:szCs w:val="18"/>
                <w:color w:val="auto"/>
              </w:rPr>
            </w:pPr>
          </w:p>
        </w:tc>
        <w:tc>
          <w:tcPr>
            <w:tcW w:w="1120" w:type="dxa"/>
            <w:vAlign w:val="bottom"/>
            <w:gridSpan w:val="2"/>
          </w:tcPr>
          <w:p>
            <w:pPr>
              <w:jc w:val="center"/>
              <w:ind w:left="678"/>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778"/>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6"/>
                <w:szCs w:val="16"/>
                <w:color w:val="auto"/>
                <w:w w:val="99"/>
              </w:rPr>
              <w:t>0.8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35.8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center"/>
              <w:ind w:right="17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80" w:type="dxa"/>
            <w:vAlign w:val="bottom"/>
            <w:vMerge w:val="restart"/>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41.7</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rPr>
              <w:t>(9.0)</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37.0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00" w:type="dxa"/>
            <w:vAlign w:val="bottom"/>
          </w:tcPr>
          <w:p>
            <w:pPr>
              <w:jc w:val="center"/>
              <w:ind w:left="778"/>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spacing w:after="0"/>
              <w:rPr>
                <w:sz w:val="18"/>
                <w:szCs w:val="18"/>
                <w:color w:val="auto"/>
              </w:rPr>
            </w:pPr>
          </w:p>
        </w:tc>
        <w:tc>
          <w:tcPr>
            <w:tcW w:w="1120" w:type="dxa"/>
            <w:vAlign w:val="bottom"/>
            <w:gridSpan w:val="2"/>
          </w:tcPr>
          <w:p>
            <w:pPr>
              <w:jc w:val="center"/>
              <w:ind w:left="678"/>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6"/>
                <w:szCs w:val="16"/>
                <w:color w:val="auto"/>
                <w:w w:val="99"/>
              </w:rPr>
              <w:t>4.7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left="678"/>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May 3,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36.4</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center"/>
              <w:ind w:left="778"/>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auto"/>
                <w:w w:val="99"/>
              </w:rPr>
              <w:t>35.8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2"/>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00" w:type="dxa"/>
            <w:vAlign w:val="bottom"/>
            <w:tcBorders>
              <w:bottom w:val="single" w:sz="8" w:color="auto"/>
            </w:tcBorders>
            <w:gridSpan w:val="2"/>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2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16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14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4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1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i w:val="1"/>
                <w:iCs w:val="1"/>
                <w:color w:val="auto"/>
                <w:w w:val="99"/>
              </w:rPr>
              <w:t>Diluted</w:t>
            </w:r>
          </w:p>
        </w:tc>
        <w:tc>
          <w:tcPr>
            <w:tcW w:w="49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6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99.8</w:t>
            </w:r>
          </w:p>
        </w:tc>
        <w:tc>
          <w:tcPr>
            <w:tcW w:w="14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104.4</w:t>
            </w:r>
          </w:p>
        </w:tc>
        <w:tc>
          <w:tcPr>
            <w:tcW w:w="14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100.6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54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16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0.3</w:t>
            </w:r>
          </w:p>
        </w:tc>
        <w:tc>
          <w:tcPr>
            <w:tcW w:w="14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c>
          <w:tcPr>
            <w:tcW w:w="14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2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6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100.1</w:t>
            </w:r>
          </w:p>
        </w:tc>
        <w:tc>
          <w:tcPr>
            <w:tcW w:w="14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104.9</w:t>
            </w:r>
          </w:p>
        </w:tc>
        <w:tc>
          <w:tcPr>
            <w:tcW w:w="14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100.9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2,580,317 and 1,825,586 shares of common stock during the second quarter of fiscal 2025 and 2024, respectively, and to purchase 2,059,715 and 1,697,100 shares of common stock during the first six months of</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2025 and 2024, respectively, were excluded from the computation of diluted net earnings per share of common stock because they were anti-dilutive.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six months ended May 2, 2025 and May 3, 2024 were $1,346.5 million and $1,165.7 million, respectively. The total amount of net receivables outstanding under this arrangement with Red Iron as of May 2, 2025, May 3, 2024, and October 31, 2024 were $1,021.2 million, $1,020.9 million and $979.6 million, respectively. The total amount of receivables due from Red Iron to the company as of May 2, 2025, May 3, 2024, and October 31, 2024 were $19.3 million, $35.1 million and $26.0 million, respectively.</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six months ended May 2, 2025 and May 3, 2024 were $319.2 million and $303.9 million, respectively. As of May 2, 2025, May 3, 2024, and October 31, 2024, $253.5 million, $190.6 million and $272.2 million, respectively, of receivables financed by HCFC and the other third-party financial institutions were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May 2, 2025, May 3, 2024 and October 31, 2024, the company was contingently liable to repurchase up to a maximum amount of $28.9 million, $30.3 million, and $29.5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six months ended May 2, 2025 and May 3,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May 2, 2025, May 3, 2024 and October 31, 2024, $124.5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million, $213.2 million, and $98.8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2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2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2"/>
        </w:trPr>
        <w:tc>
          <w:tcPr>
            <w:tcW w:w="37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7"/>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80" w:type="dxa"/>
            <w:vAlign w:val="bottom"/>
            <w:tcBorders>
              <w:top w:val="single" w:sz="8" w:color="auto"/>
              <w:bottom w:val="single" w:sz="8" w:color="auto"/>
            </w:tcBorders>
          </w:tcPr>
          <w:p>
            <w:pPr>
              <w:spacing w:after="0"/>
              <w:rPr>
                <w:sz w:val="20"/>
                <w:szCs w:val="20"/>
                <w:color w:val="auto"/>
              </w:rPr>
            </w:pPr>
          </w:p>
        </w:tc>
        <w:tc>
          <w:tcPr>
            <w:tcW w:w="246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174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6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8.7</w:t>
            </w:r>
          </w:p>
        </w:tc>
        <w:tc>
          <w:tcPr>
            <w:tcW w:w="1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9.1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7"/>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5.06 %</w:t>
            </w:r>
          </w:p>
        </w:tc>
        <w:tc>
          <w:tcPr>
            <w:tcW w:w="1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4.90 %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5.00 %</w:t>
            </w: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May 2,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5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2, 2025</w:t>
            </w: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7"/>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17"/>
        </w:trPr>
        <w:tc>
          <w:tcPr>
            <w:tcW w:w="6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38"/>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measuring counterparty credit risk for derivative instruments and to measure the fair value of a portfolio of financial assets and financial liabilities on the basis of the net open risk position with each counterparty.</w:t>
      </w:r>
    </w:p>
    <w:p>
      <w:pPr>
        <w:spacing w:after="0" w:line="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1020"/>
        <w:spacing w:after="0" w:line="380" w:lineRule="auto"/>
        <w:rPr>
          <w:sz w:val="20"/>
          <w:szCs w:val="20"/>
          <w:color w:val="auto"/>
        </w:rPr>
      </w:pPr>
      <w:r>
        <w:rPr>
          <w:rFonts w:ascii="Times New Roman" w:cs="Times New Roman" w:eastAsia="Times New Roman" w:hAnsi="Times New Roman"/>
          <w:sz w:val="17"/>
          <w:szCs w:val="17"/>
          <w:color w:val="auto"/>
        </w:rPr>
        <w:t xml:space="preserve">As of May 2, 2025, the notional amount outstanding of forward currency contracts designated as cash flow hedging instruments was $356.9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2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8"/>
        </w:trPr>
        <w:tc>
          <w:tcPr>
            <w:tcW w:w="5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6.7</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4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9.9</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2, 2025 and May 3,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298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Reclassified from AOCL into</w:t>
            </w:r>
          </w:p>
        </w:tc>
        <w:tc>
          <w:tcPr>
            <w:tcW w:w="260" w:type="dxa"/>
            <w:vAlign w:val="bottom"/>
          </w:tcPr>
          <w:p>
            <w:pPr>
              <w:spacing w:after="0"/>
              <w:rPr>
                <w:sz w:val="13"/>
                <w:szCs w:val="13"/>
                <w:color w:val="auto"/>
              </w:rPr>
            </w:pPr>
          </w:p>
        </w:tc>
        <w:tc>
          <w:tcPr>
            <w:tcW w:w="2760" w:type="dxa"/>
            <w:vAlign w:val="bottom"/>
            <w:gridSpan w:val="3"/>
          </w:tcPr>
          <w:p>
            <w:pPr>
              <w:jc w:val="right"/>
              <w:ind w:right="198"/>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Recognized in OCI on</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998"/>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ind w:left="818"/>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98"/>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center"/>
              <w:ind w:left="818"/>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298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Reclassified from AOCL into</w:t>
            </w:r>
          </w:p>
        </w:tc>
        <w:tc>
          <w:tcPr>
            <w:tcW w:w="3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(Loss) Recognized in OCI on Derivatives</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ind w:left="798"/>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18"/>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center"/>
              <w:ind w:left="798"/>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second quarter and first six months of fiscal 2025 and fiscal 2024, respectively, due to the discontinuance of cash flow hedge accounting on certain forward currency contracts designated as cash flow hedging instruments. As of May 2, 2025, the company expects to reclassify approximately $7.9 million of losses from AOCL to earnings during the next twelve months.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7"/>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0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9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(Loss) income (expense)</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1,317.9</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1,349.0</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w:t>
            </w: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 recorded</w:t>
            </w:r>
          </w:p>
        </w:tc>
        <w:tc>
          <w:tcPr>
            <w:tcW w:w="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 instruments: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24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7"/>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01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9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 amounts</w:t>
            </w:r>
          </w:p>
        </w:tc>
        <w:tc>
          <w:tcPr>
            <w:tcW w:w="24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2,312.9</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2,350.9</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which the effects of cash flow hedging instruments are recorded</w:t>
            </w: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 instruments: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24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58"/>
        </w:trPr>
        <w:tc>
          <w:tcPr>
            <w:tcW w:w="522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4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on derivatives not designated as cash flow hedging instruments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5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loss, net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loss on derivatives not designated as cash flow hedging instruments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
        </w:trPr>
        <w:tc>
          <w:tcPr>
            <w:tcW w:w="5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May 2, 2025, May 3, 2024, and October 31, 2024,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57150</wp:posOffset>
            </wp:positionV>
            <wp:extent cx="30111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7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4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2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4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7"/>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4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2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4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2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147955</wp:posOffset>
            </wp:positionV>
            <wp:extent cx="30359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58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12.0</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58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58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58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131445</wp:posOffset>
            </wp:positionV>
            <wp:extent cx="3035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8255"/>
                    </a:xfrm>
                    <a:prstGeom prst="rect">
                      <a:avLst/>
                    </a:prstGeom>
                    <a:noFill/>
                  </pic:spPr>
                </pic:pic>
              </a:graphicData>
            </a:graphic>
          </wp:anchor>
        </w:drawing>
      </w:r>
    </w:p>
    <w:p>
      <w:pPr>
        <w:spacing w:after="0" w:line="18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34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2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4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May 2, 2025, May 3, 2024, and October 31, 2024, the company's long-term debt included $524.3 million, $524.2 million, and $524.2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May 2, 2025, the estimated gross fair value of long-term debt with fixed interest rates was $523.0 million compared to its gross carrying amount of $524.3 million. As of May 3, 2024, the estimated gross fair value of long-term debt with fixed interest rates was $509.9 million compared to its gross carrying amount of $524.2 million. As of October 31, 2024, the estimated gross fair value of long-term debt with fixed interest rates was $520.4 million compared to its gross carrying amount of $524.2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2024.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are disclosed in our most recent Sustainability Report, which is not incorporated by reference into and does not form any part of this report.</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Tariffs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tariff environment is complex and evolving. Our business has incurred, and expects to continue to incur, additional costs as it relates to tariffs for the remainder of fiscal 2025. We have taken and will continue to take action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AMP Initiative</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first quarter of fiscal 2024, we launched a significant productivity initiative named AMP, which is a multi-year initiative intended to result in annualized cost savings of more than $100 million by fiscal 2027, driven by sustainable supply-base, design-to-value, route-to-market, and operational efficiency transformation. We expect to reinvest a portion of the savings from this initiative to drive further innovation and growth. As of the second quarter of fiscal 2025, the AMP initiative has delivered cumulative cost savings of $30.0 million and anticipated annualized cost savings of $70.5 million. Refer to the section titled "Non-GAAP Financial Measures" for information about the productivity initiative charges incurred to generate these savings.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Consolidated net sales for the second quarter of fiscal 2025 were $1,317.9 million, down 2.3 percent compared to $1,349.0 million in the second quarter of fiscal 2024. For the first six months of fiscal 2025, consolidated net sales were $2,312.9 million, down 1.6 percent compared to $2,350.9 million from the same period in the prior fiscal year.</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Professional segment net sales for the second quarter of fiscal 2025 were $1,014.1 million, an increase of 0.8 percent compared to $1,005.6 million in the second quarter of the prior fiscal year. For the first six months of fiscal 2025, Professional segment net sales were $1,782.9 million, an increase of 1.2 percent compared to $1,762.1 million in the prior fiscal year comparable period.</w:t>
      </w:r>
    </w:p>
    <w:p>
      <w:pPr>
        <w:spacing w:after="0" w:line="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Residential segment net sales for the second quarter of fiscal 2025 were $297.4 million, a decrease of 11.4 percent compared to $335.6 million in the second quarter of the prior fiscal year. For the first six months of fiscal 2025, Residential segment net sales were $518.4 million, a decrease of 10.0 percent compared to $575.7 million in the prior fiscal year comparable period.</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second quarter of fiscal 2025 were $136.8 million, or $1.37 per diluted share, compared to $144.8 million, or $1.38 per diluted share, for the second quarter of fiscal 2024. Net earnings for the first six months of fiscal 2025 were $189.6 million, or $1.88 per diluted share, compared to $209.7 million, or $2.00 per diluted share, in the comparable fiscal 2024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Adjusted net earnings for the second quarter of fiscal 2025 were $141.8 million, or $1.42 per diluted share, compared to $147.3 million, or $1.40 per diluted share, for the second quarter of fiscal 2024. Adjusted net earnings for the first six months of fiscal 2025 were $207.7 million, or $2.06 per diluted share, compared to $213.8 million, or $2.04 per diluted share, in the comparable fiscal 2024 period.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maintained our tradition of paying quarterly cash dividends and increased our cash dividend for the second quarter of fiscal 2025 by 5.6 percent to $0.38 per share compared to $0.36 per share paid in the second quarter of fiscal 2024.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$276.3 million of cash to our shareholders during the first six months of fiscal 2025.</w:t>
      </w:r>
    </w:p>
    <w:p>
      <w:pPr>
        <w:spacing w:after="0" w:line="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Field inventory levels were higher as of the end of the second quarter of fiscal 2025 compared to the end of the second quarter of fiscal 2024, primarily due to increased balances of lawn care, underground construction, and golf and grounds products.</w:t>
      </w:r>
    </w:p>
    <w:p>
      <w:pPr>
        <w:spacing w:after="0" w:line="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lower as of the end of the second quarter of fiscal 2025 compared to the end of the fourth quarter of fiscal 2024 primarily due to improved manufacturing output. Although manufacturing output and lead times for underground construction and golf and grounds products have improved, sustained demand for those products continues to keep order backlog significantly elevated over what the company would consider normal.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Consolidated net sales for the second quarter of fiscal 2025 were $1,317.9 million, down 2.3 percent compared to $1,349.0 million in the second quarter of fiscal 2024. This decrease was primarily driven by lower shipments of Residential segment products and prior year divestitures, partially offset by higher shipments of Professional segment products. For the year-to-date period of fiscal 2025, consolidated net sales were $2,312.9 million, down 1.6 percent compared to $2,350.9 million from the same period in the prior fiscal year. This decrease was primarily driven by lower shipments of Residential segment products and prior year divestitures, partially offset by higher shipments of Professional segment products and net price realization.</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in international markets decreased by $12.6 million and $6.2 million for the second quarter and year-to-date periods of fiscal 2025, respectively. The decrease for the second quarter comparison was primarily due to lower shipments of Professional segment products. The decrease for the year-to-date comparison was primarily due to lower shipments of Residential segment products.</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Changes in foreign currency exchange rates resulted in a decrease in our net sales of approximately $2.3 million and $6.4 million for the second quarter and year-to-date periods of fiscal 2025,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3"/>
          </w:tcPr>
          <w:p>
            <w:pPr>
              <w:ind w:left="1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80" w:type="dxa"/>
            <w:vAlign w:val="bottom"/>
            <w:tcBorders>
              <w:bottom w:val="single" w:sz="8" w:color="auto"/>
            </w:tcBorders>
            <w:gridSpan w:val="2"/>
          </w:tcPr>
          <w:p>
            <w:pPr>
              <w:jc w:val="right"/>
              <w:ind w:right="7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15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1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100.0 %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100.0 %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(66.9)</w:t>
            </w:r>
          </w:p>
        </w:tc>
        <w:tc>
          <w:tcPr>
            <w:tcW w:w="1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(66.6)</w:t>
            </w:r>
          </w:p>
        </w:tc>
        <w:tc>
          <w:tcPr>
            <w:tcW w:w="1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(66.1)</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33.1</w:t>
            </w:r>
          </w:p>
        </w:tc>
        <w:tc>
          <w:tcPr>
            <w:tcW w:w="1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33.4</w:t>
            </w:r>
          </w:p>
        </w:tc>
        <w:tc>
          <w:tcPr>
            <w:tcW w:w="1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(19.8)</w:t>
            </w:r>
          </w:p>
        </w:tc>
        <w:tc>
          <w:tcPr>
            <w:tcW w:w="1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(22.5)</w:t>
            </w:r>
          </w:p>
        </w:tc>
        <w:tc>
          <w:tcPr>
            <w:tcW w:w="13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(22.2)</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6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13.3</w:t>
            </w:r>
          </w:p>
        </w:tc>
        <w:tc>
          <w:tcPr>
            <w:tcW w:w="1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10.9</w:t>
            </w:r>
          </w:p>
        </w:tc>
        <w:tc>
          <w:tcPr>
            <w:tcW w:w="1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11.7</w:t>
            </w:r>
          </w:p>
        </w:tc>
      </w:tr>
      <w:tr>
        <w:trPr>
          <w:trHeight w:val="21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(1.2)</w:t>
            </w: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(1.3)</w:t>
            </w: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(1.4)</w:t>
            </w:r>
          </w:p>
        </w:tc>
      </w:tr>
      <w:tr>
        <w:trPr>
          <w:trHeight w:val="22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8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0.7</w:t>
            </w: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0.6</w:t>
            </w: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12.8</w:t>
            </w:r>
          </w:p>
        </w:tc>
        <w:tc>
          <w:tcPr>
            <w:tcW w:w="13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5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10.2</w:t>
            </w:r>
          </w:p>
        </w:tc>
        <w:tc>
          <w:tcPr>
            <w:tcW w:w="13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11.0</w:t>
            </w:r>
          </w:p>
        </w:tc>
      </w:tr>
      <w:tr>
        <w:trPr>
          <w:trHeight w:val="22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8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(2.4)</w:t>
            </w:r>
          </w:p>
        </w:tc>
        <w:tc>
          <w:tcPr>
            <w:tcW w:w="1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(2.0)</w:t>
            </w:r>
          </w:p>
        </w:tc>
        <w:tc>
          <w:tcPr>
            <w:tcW w:w="13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10.4 %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8.2 %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second quarter of fiscal 2025 was $436.7 million, down 3.6 percent compared to $453.0 million for the second quarter of fiscal 2024. Gross margin was 33.1 percent for the second quarter of fiscal 2025 compared to 33.6 percent for the second quarter of fiscal 2024, a decrease of 50 basis points. The decrease in gross margin for the second quarter comparison was primarily due to higher material and manufacturing costs and inventory valuation adjustments, partially offset by product mix and productivity improvements.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Gross profit for the year-to-date period of fiscal 2025 was $772.3 million, down 3.2 percent compared to $797.5 million for the same period of fiscal 2024. Gross margin was 33.4 percent for the year-to-date period of fiscal 2025 compared to 33.9 percent for the prior year comparable period, a decrease of 50 basis points. The decrease in gross margin for the year-to-date comparison was primarily due to higher material and manufacturing costs and inventory valuation adjustments, partially offset by productivity improvements and product mix.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SG&amp;A expense decreased $3.5 million, or 1.3 percent, for the second quarter of fiscal 2025 and decreased $1.6 million, or 0.3 percent, for the year-to-date period of fiscal 2025 compared to the same respective periods of fiscal 2024. As a percentage of net sales, SG&amp;A expense increased 10 basis points for the second quarter of fiscal 2025 and increased 30 basis points for the year-to-date period of fiscal 2025 compared to the same respective periods of fiscal 2024. The increases in SG&amp;A expense as a percentage of net sales for the second quarter and year-to-date comparisons were primarily due to lower net sales volume.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$0.9 million and $2.1 million for the second quarter and year-to-date periods of fiscal 2025, respectively, compared to the same respective periods of fiscal 2024. The decreases in interest expense for the second quarter and year-to-date comparisons were primarily due to lower average interest rates.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Other income, net increased $1.4 million and decreased $3.0 million for the second quarter and year-to-date periods of fiscal 2025, respectively, compared to the same respective periods of fiscal 2024. The increase in other income, net for the second quarter comparison was primarily due to the favorable impact from derivative instruments, partially offset by prior year net gains on divestitures which did not recur in the current year. The decrease in other income, net for the year-to-date comparison was primarily due to prior year net gains on divestitures which did not recur in the current year, lower income from our Red Iron joint venture, and the unfavorable impact from derivative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effective tax rate for the second quarter of fiscal 2025 was 18.9 percent compared to 19.2 percent in the second quarter of fiscal 2024, primarily due to a more favorable geographic mix of earnings, partially offset by lower tax benefits recorded as excess tax deductions for stock-based compensation. The effective tax rate for the year-to-date period of fiscal 2025 was 19.3 percent compared to 19.1 percent in the same period of fiscal 2024, primarily due to lower tax benefits recorded as excess tax deductions for stock-based compensation, partially offset by a more favorable geographic mix of earnings. The adjusted effective tax rate for the second quarter of fiscal 2025 was 18.7 percent, compared to an adjusted effective tax rate of 19.8 percent in the second quarter of fiscal 2024, primarily driven by a more favorable geographic mix of earnings. The adjusted effective tax rate for the year-to-date period of fiscal 2025 was 19.2 percent, compared to 20.1 percent in the same period of fiscal 2024, primarily driven by a more favorable geographic mix of earnings.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earnings for the second quarter of fiscal 2025 were $136.8 million, or $1.37 per diluted share, compared to $144.8 million, or $1.38 per diluted share, for the second quarter of fiscal 2024. Adjusted net earnings for the second quarter of fiscal 2025 were $141.8 million, or $1.42 per diluted share, compared to $147.3 million, or $1.40 per diluted share, for the second quarter of fiscal 2024, an increase of 1.4 percent per diluted share. Net earnings for the first six months of fiscal 2025 were $189.6 million, or $1.88 per diluted share, compared to $209.7 million, or $2.00 per diluted share, for the same period of fiscal 2024. Adjusted net earnings for the first six months of fiscal 2025 were $207.7 million, or $2.06 per diluted share, compared to $213.8 million, or $2.04 per diluted share, for the same year-to-date period of fiscal 2024, an increase of 1.0 percent per diluted share. The decrease in net earnings per diluted share for the second quarter comparison was primarily due to lower Residential segment earnings, partially offset by higher Professional segment earnings. The decrease in net earnings per diluted share for the year-to-date comparison was primarily due to higher productivity initiative charges and lower Residential segment earnings, partially offset by higher Professional segment earnings.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20" w:type="dxa"/>
            <w:vAlign w:val="bottom"/>
          </w:tcPr>
          <w:p>
            <w:pPr>
              <w:spacing w:after="0"/>
              <w:rPr>
                <w:sz w:val="13"/>
                <w:szCs w:val="13"/>
                <w:color w:val="auto"/>
              </w:rPr>
            </w:pPr>
          </w:p>
        </w:tc>
        <w:tc>
          <w:tcPr>
            <w:tcW w:w="11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Pr>
          <w:p>
            <w:pPr>
              <w:spacing w:after="0"/>
              <w:rPr>
                <w:sz w:val="13"/>
                <w:szCs w:val="13"/>
                <w:color w:val="auto"/>
              </w:rPr>
            </w:pPr>
          </w:p>
        </w:tc>
        <w:tc>
          <w:tcPr>
            <w:tcW w:w="11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7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297.4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24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(38.2)</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1,317.9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(31.1)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84"/>
        </w:trPr>
        <w:tc>
          <w:tcPr>
            <w:tcW w:w="39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7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255.6</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(12.6)</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20" w:type="dxa"/>
            <w:vAlign w:val="bottom"/>
          </w:tcPr>
          <w:p>
            <w:pPr>
              <w:spacing w:after="0"/>
              <w:rPr>
                <w:sz w:val="13"/>
                <w:szCs w:val="13"/>
                <w:color w:val="auto"/>
              </w:rPr>
            </w:pPr>
          </w:p>
        </w:tc>
        <w:tc>
          <w:tcPr>
            <w:tcW w:w="11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Pr>
          <w:p>
            <w:pPr>
              <w:spacing w:after="0"/>
              <w:rPr>
                <w:sz w:val="13"/>
                <w:szCs w:val="13"/>
                <w:color w:val="auto"/>
              </w:rPr>
            </w:pPr>
          </w:p>
        </w:tc>
        <w:tc>
          <w:tcPr>
            <w:tcW w:w="11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Pr>
          <w:p>
            <w:pPr>
              <w:spacing w:after="0"/>
              <w:rPr>
                <w:sz w:val="13"/>
                <w:szCs w:val="13"/>
                <w:color w:val="auto"/>
              </w:rPr>
            </w:pPr>
          </w:p>
        </w:tc>
        <w:tc>
          <w:tcPr>
            <w:tcW w:w="132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1,782.9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20.8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7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518.4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24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(57.3)</w:t>
            </w: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2,312.9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(38.0)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84"/>
        </w:trPr>
        <w:tc>
          <w:tcPr>
            <w:tcW w:w="39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7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467.0</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2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(6.2)</w:t>
            </w:r>
          </w:p>
        </w:tc>
        <w:tc>
          <w:tcPr>
            <w:tcW w:w="1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tables</w:t>
            </w:r>
          </w:p>
        </w:tc>
        <w:tc>
          <w:tcPr>
            <w:tcW w:w="4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summarize  segment  earnings  for  our  reportable</w:t>
            </w:r>
          </w:p>
        </w:tc>
        <w:tc>
          <w:tcPr>
            <w:tcW w:w="3800" w:type="dxa"/>
            <w:vAlign w:val="bottom"/>
            <w:gridSpan w:val="5"/>
          </w:tcPr>
          <w:p>
            <w:pPr>
              <w:jc w:val="right"/>
              <w:ind w:right="78"/>
              <w:spacing w:after="0"/>
              <w:rPr>
                <w:sz w:val="20"/>
                <w:szCs w:val="20"/>
                <w:color w:val="auto"/>
              </w:rPr>
            </w:pPr>
            <w:r>
              <w:rPr>
                <w:rFonts w:ascii="Times New Roman" w:cs="Times New Roman" w:eastAsia="Times New Roman" w:hAnsi="Times New Roman"/>
                <w:sz w:val="17"/>
                <w:szCs w:val="17"/>
                <w:color w:val="auto"/>
              </w:rPr>
              <w:t>business  segments  and  operating  (loss)  for</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our  Other  activities:</w:t>
            </w:r>
          </w:p>
        </w:tc>
        <w:tc>
          <w:tcPr>
            <w:tcW w:w="0" w:type="dxa"/>
            <w:vAlign w:val="bottom"/>
          </w:tcPr>
          <w:p>
            <w:pPr>
              <w:spacing w:after="0"/>
              <w:rPr>
                <w:sz w:val="1"/>
                <w:szCs w:val="1"/>
                <w:color w:val="auto"/>
              </w:rPr>
            </w:pPr>
          </w:p>
        </w:tc>
      </w:tr>
      <w:tr>
        <w:trPr>
          <w:trHeight w:val="238"/>
        </w:trPr>
        <w:tc>
          <w:tcPr>
            <w:tcW w:w="176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0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Pr>
          <w:p>
            <w:pPr>
              <w:spacing w:after="0"/>
              <w:rPr>
                <w:sz w:val="13"/>
                <w:szCs w:val="13"/>
                <w:color w:val="auto"/>
              </w:rPr>
            </w:pPr>
          </w:p>
        </w:tc>
        <w:tc>
          <w:tcPr>
            <w:tcW w:w="1160" w:type="dxa"/>
            <w:vAlign w:val="bottom"/>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Pr>
          <w:p>
            <w:pPr>
              <w:spacing w:after="0"/>
              <w:rPr>
                <w:sz w:val="13"/>
                <w:szCs w:val="13"/>
                <w:color w:val="auto"/>
              </w:rPr>
            </w:pPr>
          </w:p>
        </w:tc>
        <w:tc>
          <w:tcPr>
            <w:tcW w:w="1220" w:type="dxa"/>
            <w:vAlign w:val="bottom"/>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1760" w:type="dxa"/>
            <w:vAlign w:val="bottom"/>
            <w:tcBorders>
              <w:bottom w:val="single" w:sz="8" w:color="auto"/>
            </w:tcBorders>
            <w:vMerge w:val="continue"/>
          </w:tcPr>
          <w:p>
            <w:pPr>
              <w:spacing w:after="0"/>
              <w:rPr>
                <w:sz w:val="19"/>
                <w:szCs w:val="19"/>
                <w:color w:val="auto"/>
              </w:rPr>
            </w:pPr>
          </w:p>
        </w:tc>
        <w:tc>
          <w:tcPr>
            <w:tcW w:w="50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Value Change</w:t>
            </w: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40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404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36.1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6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40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179.2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3"/>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0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Pr>
          <w:p>
            <w:pPr>
              <w:spacing w:after="0"/>
              <w:rPr>
                <w:sz w:val="13"/>
                <w:szCs w:val="13"/>
                <w:color w:val="auto"/>
              </w:rPr>
            </w:pPr>
          </w:p>
        </w:tc>
        <w:tc>
          <w:tcPr>
            <w:tcW w:w="1160" w:type="dxa"/>
            <w:vAlign w:val="bottom"/>
            <w:vMerge w:val="restart"/>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20" w:type="dxa"/>
            <w:vAlign w:val="bottom"/>
          </w:tcPr>
          <w:p>
            <w:pPr>
              <w:spacing w:after="0"/>
              <w:rPr>
                <w:sz w:val="13"/>
                <w:szCs w:val="13"/>
                <w:color w:val="auto"/>
              </w:rPr>
            </w:pPr>
          </w:p>
        </w:tc>
        <w:tc>
          <w:tcPr>
            <w:tcW w:w="1220" w:type="dxa"/>
            <w:vAlign w:val="bottom"/>
          </w:tcPr>
          <w:p>
            <w:pPr>
              <w:jc w:val="center"/>
              <w:ind w:right="5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1760" w:type="dxa"/>
            <w:vAlign w:val="bottom"/>
            <w:tcBorders>
              <w:bottom w:val="single" w:sz="8" w:color="auto"/>
            </w:tcBorders>
            <w:vMerge w:val="continue"/>
          </w:tcPr>
          <w:p>
            <w:pPr>
              <w:spacing w:after="0"/>
              <w:rPr>
                <w:sz w:val="19"/>
                <w:szCs w:val="19"/>
                <w:color w:val="auto"/>
              </w:rPr>
            </w:pPr>
          </w:p>
        </w:tc>
        <w:tc>
          <w:tcPr>
            <w:tcW w:w="50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Value Change</w:t>
            </w: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40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329.3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303.5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404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59.6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6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20"/>
        </w:trPr>
        <w:tc>
          <w:tcPr>
            <w:tcW w:w="1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40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234.8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259.3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Worldwide net sales for our Professional segment for the second quarter of fiscal 2025 increased 0.8 percent compared to the second quarter of fiscal 2024. This increase was driven primarily by higher shipments of golf and grounds products, partially offset by lower shipments of underground and specialty construction products and the prior year construction equipment dealer divestitures. Worldwide net sales for our Professional segment for the year-to-date period of fiscal 2025 increased 1.2 percent compared to the same period of fiscal 2024. This increase was driven primarily by higher shipments of golf and grounds products and zero-turn mowers, along with net price realization, partially offset by lower shipments of underground and specialty construction products and the prior year construction equipment dealer divestitures.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Professional segment earnings for the second quarter of fiscal 2025 increased 6.0 percent compared to the second quarter of fiscal 2024, and Professional segment earnings margin increased to 19.9 percent from 19.0 percent in the second quarter of fiscal 2024. The increase in Professional segment earnings margin was primarily due to product mix and productivity improvements, partially offset by higher material and manufacturing costs. Professional segment earnings for the year-to-date period of fiscal 2025 increased 8.5 percent compared to the same period of fiscal 2024, and Professional segment margin increased to 18.5 percent from 17.2 percent for the year-to-date period of fiscal 2024. The increase in Professional segment earnings margin was primarily due to productivity improvements, product mix, and net sales leverage, partially offset by higher material, manufacturing, and freight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Worldwide net sales for our Residential segment for the second quarter of fiscal 2025 decreased 11.4 percent compared to the second quarter of fiscal 2024. The decrease in Residential segment net sales was primarily driven by lower shipments of walk power mowers, zero-turn mowers, and portable power products, due to lower demand from homeowners, as well as the prior year divestiture of the Pope Products ("Pope") garden watering and irrigation business, partially offset by higher shipments of snow products and lower sales promotions and incentives. Worldwide net sales for our Residential segment for the year-to-date period of fiscal 2025 decreased 10.0 percent compared to the same period of fiscal 2024. The decrease in Residential segment net sales was primarily driven by lower shipments of portable power products, walk power mowers, and zero-turn mowers, as well as the prior year Pope divestiture.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Residential segment earnings for the second quarter of fiscal 2025 decreased 55.4 percent compared to the second quarter of fiscal 2024, and Residential segment earnings margin decreased to 5.4 percent from 10.8 percent in the second quarter of fiscal 2024. The decrease in Residential segment earnings margin for the second quarter of fiscal 2025 was largely driven by higher material, manufacturing, and freight costs, lower net sales volume, and inventory valuation adjustments, partially offset by productivity improvements and lower sales promotions and incentives. Residential segment earnings for the year-to-date period of fiscal 2025 decreased 44.1 percent compared to the same period of fiscal 2024, and Residential segment earnings margin decrease to 6.4 percent from 10.4 percent in the year-to-date period of fiscal 2024. The decrease in Residential segment earnings margin for the year-to-date period of fiscal 2025 was largely driven by higher material, manufacturing, and freight costs, lower net sales volume, and inventory valuation adjustments, partially offset by productivity improvements and lower sales promotions and incentives.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second quarter of fiscal 2025 decreased by $1.4 million compared to the second quarter of fiscal 2024. Net sales for our Other activities in the year-to-date period of fiscal 2025 decreased by $1.5 million compared to the same period in fiscal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operating loss for our Other activities for the second quarter of fiscal 2025 increased $1.9 million compared to the second quarter of fiscal 2024, primarily due to prior year net gains on divestitures which did not recur in the current year, higher productivity initiative charges, and higher corporate expenses, partially offset by the favorable impact from derivative instruments, lower incentive compensation, and lower interest expense. The operating loss of our Other Activities for the year-to-date period of fiscal 2025 increased $24.0 million compared to same period in fiscal 2024, primarily due to higher productivity initiative charges and higher corporate expenses, partially offset by lower incentive compensation and lower interest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second quarter of fiscal 2025 decreased $20.6 million, or 3.3 percent, compared to the end of the second quarter of fiscal 2024, primarily driven by timing of shipments. Inventory levels were up $14.8 million, or 1.3 percent, as of the second quarter of fiscal 2025 compared to the second quarter of fiscal 2024, primarily due to higher finished goods balances, partially offset by lower raw materials and work in process balances. Accounts payable increased $3.6 million, or 0.7 percent, as of the end of the second quarter of fiscal 2025 compared to the end of the second quarter of fiscal 2024, primarily due to higher purchases.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provided by operating activities for the first six months of fiscal 2025 was $123.1 million compared to $135.1 million for the first six months of fiscal 2024. This change was mainly due to fluctuations in working capital.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used in investing activities for the first six months of fiscal 2025 was $42.4 million compared to $37.5 million for the first six months of fiscal 2024. This change was primarily driven by the net cash used for an acquisition in the current year period.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Net cash used in financing activities for the first six months of fiscal 2025 was $104.9 million compared to $103.4 million for the first six months of fiscal 2024, as higher common stock repurchases were offset by higher borrowings under the revolving credit facility.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May 2, 2025, we had available liquidity of $899.4 million, consisting of cash and cash equivalents of $176.5 million, of which $128.2 million was held by our foreign subsidiaries, and availability under our revolving credit facility of $722.9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2024.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1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due October 2029</w:t>
            </w:r>
          </w:p>
        </w:tc>
        <w:tc>
          <w:tcPr>
            <w:tcW w:w="18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175.0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due October 2029</w:t>
            </w:r>
          </w:p>
        </w:tc>
        <w:tc>
          <w:tcPr>
            <w:tcW w:w="186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April 2027</w:t>
            </w:r>
          </w:p>
        </w:tc>
        <w:tc>
          <w:tcPr>
            <w:tcW w:w="1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86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86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86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124.3</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8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86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1,097.1</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1,016.8</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r>
      <w:tr>
        <w:trPr>
          <w:trHeight w:val="22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8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8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1,077.1</w:t>
            </w:r>
          </w:p>
        </w:tc>
        <w:tc>
          <w:tcPr>
            <w:tcW w:w="3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2"/>
        </w:trPr>
        <w:tc>
          <w:tcPr>
            <w:tcW w:w="4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May 2, 2025, we had $175.0 million outstanding borrowings under our revolving credit facility and $2.1 million outstanding under the sublimit for standby letters of credit, which resulted in $722.9 million of unutilized availability under our revolving credit facility's $900 million borrowing capacity.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$0.38 per share for the second quarter of fiscal 2025 that was paid on April 14, 2025. This was an increase of 5.6 percent over our cash dividend of $0.36 per share for the second quarter of fiscal 2024. We expect to continue paying our quarterly cash dividend to shareholders for the remainder of fiscal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Repurchases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six months of fiscal 2025, we repurchased 2,550,293 shares of our common stock under our stock repurchase program, thereby reducing our total shares of common stock outstanding. As of May 2, 2025, 5,621,664 shares of common stock remained available for repurchase under our stock repurchase program. We expect to continue to repurchase shares of our common stock throughout the remainder of fiscal 2025, depending on our cash balance, debt repayments, market conditions, our anticipated working capital needs, the price of our common stock, investment priorities, and/or other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2024. There have been no material changes to our customer financing arrangements during the first six months of fiscal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six month periods ended May 2, 2025 and May 3, 2024 were $1,346.5 million and $1,165.7 million, respectively. The total amount of net receivables outstanding under the arrangement with Red Iron as of May 2, 2025, May 3, 2024 and October 31, 2024 were $1,021.2 million, $1,020.9 million and $979.6 million, respectively. The total amount of receivables due from Red Iron to us as of May 2, 2025, May 3, 2024 and October 31, 2024 were $19.3 million, $35.1 million and $26.0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six month periods ended May 2, 2025 and May 3, 2024 were $319.2 million and $303.9 million, respectively. The total amount of net receivables outstanding under the arrangements with HCFC and the other third-party financial institutions as of May 2, 2025, May 3, 2024, and October 31, 2024 were $253.5 million, $190.6 million, and $272.2 million,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May 2, 2025, May 3, 2024, and October 31, 2024, we were contingently liable to repurchase up to a maximum amount of $28.9 million, $30.3 million, and $29.5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six months ended May 2, 2025 and May 3, 2024.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and six month periods ended May 2, 2025 and May 3, 2024: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1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May 3, 2024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436.7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453.0</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772.3</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797.5</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440.4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453.0</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779.8</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797.5</w:t>
            </w:r>
          </w:p>
        </w:tc>
      </w:tr>
      <w:tr>
        <w:trPr>
          <w:trHeight w:val="73"/>
        </w:trPr>
        <w:tc>
          <w:tcPr>
            <w:tcW w:w="4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33.9 %</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1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33.9 %</w:t>
            </w:r>
          </w:p>
        </w:tc>
      </w:tr>
      <w:tr>
        <w:trPr>
          <w:trHeight w:val="73"/>
        </w:trPr>
        <w:tc>
          <w:tcPr>
            <w:tcW w:w="4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174.8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187.6</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252.6</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276.2</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180.4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192.0</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274.4</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284.5</w:t>
            </w:r>
          </w:p>
        </w:tc>
      </w:tr>
      <w:tr>
        <w:trPr>
          <w:trHeight w:val="73"/>
        </w:trPr>
        <w:tc>
          <w:tcPr>
            <w:tcW w:w="4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1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73"/>
        </w:trPr>
        <w:tc>
          <w:tcPr>
            <w:tcW w:w="4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168.7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179.2</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234.8</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259.3</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174.4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183.6</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257.0</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267.6</w:t>
            </w:r>
          </w:p>
        </w:tc>
      </w:tr>
      <w:tr>
        <w:trPr>
          <w:trHeight w:val="73"/>
        </w:trPr>
        <w:tc>
          <w:tcPr>
            <w:tcW w:w="4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34.4</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45.2</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49.6</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tcPr>
          <w:p>
            <w:pPr>
              <w:spacing w:after="0"/>
              <w:rPr>
                <w:sz w:val="19"/>
                <w:szCs w:val="19"/>
                <w:color w:val="auto"/>
              </w:rPr>
            </w:pPr>
          </w:p>
        </w:tc>
        <w:tc>
          <w:tcPr>
            <w:tcW w:w="12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spacing w:after="0"/>
              <w:rPr>
                <w:sz w:val="19"/>
                <w:szCs w:val="19"/>
                <w:color w:val="auto"/>
              </w:rPr>
            </w:pP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9"/>
                <w:szCs w:val="19"/>
                <w:color w:val="auto"/>
              </w:rPr>
            </w:pP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9"/>
                <w:szCs w:val="19"/>
                <w:color w:val="auto"/>
              </w:rPr>
            </w:pP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1.7</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2</w:t>
            </w:r>
          </w:p>
        </w:tc>
        <w:tc>
          <w:tcPr>
            <w:tcW w:w="1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36.3</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49.3</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53.8</w:t>
            </w:r>
          </w:p>
        </w:tc>
      </w:tr>
      <w:tr>
        <w:trPr>
          <w:trHeight w:val="99"/>
        </w:trPr>
        <w:tc>
          <w:tcPr>
            <w:tcW w:w="4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136.8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144.8</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189.6</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209.7</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1</w:t>
            </w: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6.6</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2</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(2.5)</w:t>
            </w:r>
          </w:p>
        </w:tc>
      </w:tr>
      <w:tr>
        <w:trPr>
          <w:trHeight w:val="235"/>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147.3</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207.7</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213.8</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4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rPr>
              <w:t>1.88</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2.00</w:t>
            </w:r>
          </w:p>
        </w:tc>
      </w:tr>
      <w:tr>
        <w:trPr>
          <w:trHeight w:val="220"/>
        </w:trPr>
        <w:tc>
          <w:tcPr>
            <w:tcW w:w="420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1</w:t>
            </w:r>
          </w:p>
        </w:tc>
        <w:tc>
          <w:tcPr>
            <w:tcW w:w="1380" w:type="dxa"/>
            <w:vAlign w:val="bottom"/>
          </w:tcPr>
          <w:p>
            <w:pPr>
              <w:spacing w:after="0"/>
              <w:rPr>
                <w:sz w:val="19"/>
                <w:szCs w:val="19"/>
                <w:color w:val="auto"/>
              </w:rPr>
            </w:pPr>
          </w:p>
        </w:tc>
        <w:tc>
          <w:tcPr>
            <w:tcW w:w="126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Pr>
          <w:p>
            <w:pPr>
              <w:spacing w:after="0"/>
              <w:rPr>
                <w:sz w:val="19"/>
                <w:szCs w:val="19"/>
                <w:color w:val="auto"/>
              </w:rPr>
            </w:pP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Pr>
          <w:p>
            <w:pPr>
              <w:spacing w:after="0"/>
              <w:rPr>
                <w:sz w:val="19"/>
                <w:szCs w:val="19"/>
                <w:color w:val="auto"/>
              </w:rPr>
            </w:pP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Pr>
          <w:p>
            <w:pPr>
              <w:spacing w:after="0"/>
              <w:rPr>
                <w:sz w:val="19"/>
                <w:szCs w:val="19"/>
                <w:color w:val="auto"/>
              </w:rPr>
            </w:pP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0.06</w:t>
            </w:r>
          </w:p>
        </w:tc>
      </w:tr>
      <w:tr>
        <w:trPr>
          <w:trHeight w:val="220"/>
        </w:trPr>
        <w:tc>
          <w:tcPr>
            <w:tcW w:w="420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2</w:t>
            </w:r>
          </w:p>
        </w:tc>
        <w:tc>
          <w:tcPr>
            <w:tcW w:w="1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(0.02)</w:t>
            </w:r>
          </w:p>
        </w:tc>
      </w:tr>
      <w:tr>
        <w:trPr>
          <w:trHeight w:val="21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2.04</w:t>
            </w:r>
          </w:p>
        </w:tc>
      </w:tr>
      <w:tr>
        <w:trPr>
          <w:trHeight w:val="99"/>
        </w:trPr>
        <w:tc>
          <w:tcPr>
            <w:tcW w:w="42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19.1 %</w:t>
            </w:r>
          </w:p>
        </w:tc>
      </w:tr>
      <w:tr>
        <w:trPr>
          <w:trHeight w:val="223"/>
        </w:trPr>
        <w:tc>
          <w:tcPr>
            <w:tcW w:w="42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1</w:t>
            </w: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0"/>
        </w:trPr>
        <w:tc>
          <w:tcPr>
            <w:tcW w:w="420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2</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5"/>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1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240" w:hanging="159"/>
        <w:spacing w:after="0" w:line="234" w:lineRule="auto"/>
        <w:tabs>
          <w:tab w:leader="none" w:pos="22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six month periods ended May 2, 2025 and May 3, 2024 primarily represent severance and termination benefits, facility exit costs, compensation for fully-dedicated AMP personnel, third-party consulting costs, and product-line exit costs.</w:t>
      </w:r>
    </w:p>
    <w:p>
      <w:pPr>
        <w:spacing w:after="0" w:line="96" w:lineRule="exact"/>
        <w:rPr>
          <w:sz w:val="20"/>
          <w:szCs w:val="20"/>
          <w:color w:val="auto"/>
        </w:rPr>
      </w:pPr>
    </w:p>
    <w:p>
      <w:pPr>
        <w:jc w:val="both"/>
        <w:ind w:left="240" w:hanging="159"/>
        <w:spacing w:after="0" w:line="230" w:lineRule="auto"/>
        <w:tabs>
          <w:tab w:leader="none" w:pos="305"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2, 2025 and May 3,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2, 2025 and May 3, 2024:</w:t>
      </w:r>
    </w:p>
    <w:p>
      <w:pPr>
        <w:spacing w:after="0" w:line="10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5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May 3, 2024</w:t>
            </w:r>
          </w:p>
        </w:tc>
      </w:tr>
      <w:tr>
        <w:trPr>
          <w:trHeight w:val="21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123.1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135.1</w:t>
            </w:r>
          </w:p>
        </w:tc>
      </w:tr>
      <w:tr>
        <w:trPr>
          <w:trHeight w:val="217"/>
        </w:trPr>
        <w:tc>
          <w:tcPr>
            <w:tcW w:w="5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w:t>
            </w:r>
          </w:p>
        </w:tc>
        <w:tc>
          <w:tcPr>
            <w:tcW w:w="2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39.5</w:t>
            </w:r>
          </w:p>
        </w:tc>
      </w:tr>
      <w:tr>
        <w:trPr>
          <w:trHeight w:val="216"/>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95.6</w:t>
            </w:r>
          </w:p>
        </w:tc>
      </w:tr>
      <w:tr>
        <w:trPr>
          <w:trHeight w:val="217"/>
        </w:trPr>
        <w:tc>
          <w:tcPr>
            <w:tcW w:w="5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189.6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209.7</w:t>
            </w:r>
          </w:p>
        </w:tc>
      </w:tr>
      <w:tr>
        <w:trPr>
          <w:trHeight w:val="238"/>
        </w:trPr>
        <w:tc>
          <w:tcPr>
            <w:tcW w:w="5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25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45.6 %</w:t>
            </w: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Other than the below, there have been no material changes to our critical accounting policies and estimates since our Annual Report on Form 10-K for the fiscal year ended October 31, 2024.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 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2024 for a discussion of our critical accounting policies and estimates.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Spartan Trade Name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Spartan business within its Professional Segment has experienced a decline in customer demand for many of its products, primarily due to the continued macroeconomic caution the company has seen in markets associated with homeowners who prefer professional grade products. As a result, the company has experienced lower sales of Spartan-branded products which narrows the excess between the fair value and carrying value of the Spartan trade name. This indefinite-lived intangible asset may be susceptible to impairment and a continued decline in fair value could trigger a future impairment charge of the Spartan trade name. While the company has and can implement strategies to address this risk, adverse changes in operating conditions in the future, primarily through Spartan’s key selling season which extends through the end of the company's third quarter, could reduce the underlying cash flows used to estimate fair value and may trigger future impairment. The carrying value of the Spartan trade name is $81.1 million and fair value represented 148% of the carrying value as of October 31,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2024. Refer to Part II, Item 7A, "Quantitative and Qualitative Disclosures about Market Risk", within our Annual Report on Form 10-K for the fiscal year ended October 31, 2024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16, </w:t>
      </w:r>
      <w:r>
        <w:rPr>
          <w:rFonts w:ascii="Times New Roman" w:cs="Times New Roman" w:eastAsia="Times New Roman" w:hAnsi="Times New Roman"/>
          <w:sz w:val="17"/>
          <w:szCs w:val="17"/>
          <w:i w:val="1"/>
          <w:iCs w:val="1"/>
          <w:color w:val="auto"/>
        </w:rPr>
        <w:t>Derivative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 and 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2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2025 through fiscal 2027. All items are non-trading and stated in U.S. dollars. As of May 2, 2025,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2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0.6541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87.3</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1.3635</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47.5</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1.1154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201.5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1.2828</w:t>
            </w:r>
          </w:p>
        </w:tc>
        <w:tc>
          <w:tcPr>
            <w:tcW w:w="16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66.9</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20.2982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66.2</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3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May 2, 2025 includes $524.3 million of gross fixed-rate long-term debt that is not subject to variable interest rate fluctuations, $400.0 million of gross variable rate debt under our term loan credit agreements, and $175.0 million outstanding under our variable rate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May 2, 2025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14,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Periodically, the company's Board of Directors authorizes the repurchase of shares of the company's common stock in open-market or privately negotiated transactions under the company's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the company's common stock repurchased by the company during each of the three fiscal months in the company's second quarter ended May 2,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(or Units)</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222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Repurchased As</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156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20" w:type="dxa"/>
            <w:vAlign w:val="bottom"/>
          </w:tcPr>
          <w:p>
            <w:pPr>
              <w:ind w:left="880"/>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560" w:type="dxa"/>
            <w:vAlign w:val="bottom"/>
            <w:gridSpan w:val="2"/>
            <w:vMerge w:val="continue"/>
          </w:tcPr>
          <w:p>
            <w:pPr>
              <w:spacing w:after="0"/>
              <w:rPr>
                <w:sz w:val="14"/>
                <w:szCs w:val="14"/>
                <w:color w:val="auto"/>
              </w:rPr>
            </w:pP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Repurchased Under the</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tcPr>
          <w:p>
            <w:pPr>
              <w:ind w:left="900"/>
              <w:spacing w:after="0" w:line="220" w:lineRule="exact"/>
              <w:rPr>
                <w:sz w:val="20"/>
                <w:szCs w:val="20"/>
                <w:color w:val="auto"/>
              </w:rPr>
            </w:pPr>
            <w:r>
              <w:rPr>
                <w:rFonts w:ascii="Times New Roman" w:cs="Times New Roman" w:eastAsia="Times New Roman" w:hAnsi="Times New Roman"/>
                <w:sz w:val="16"/>
                <w:szCs w:val="16"/>
                <w:b w:val="1"/>
                <w:bCs w:val="1"/>
                <w:color w:val="auto"/>
              </w:rPr>
              <w:t>Repurchased</w:t>
            </w:r>
            <w:r>
              <w:rPr>
                <w:rFonts w:ascii="Times New Roman" w:cs="Times New Roman" w:eastAsia="Times New Roman" w:hAnsi="Times New Roman"/>
                <w:sz w:val="21"/>
                <w:szCs w:val="21"/>
                <w:b w:val="1"/>
                <w:bCs w:val="1"/>
                <w:color w:val="auto"/>
                <w:vertAlign w:val="superscript"/>
              </w:rPr>
              <w:t>1,2,3</w:t>
            </w:r>
          </w:p>
        </w:tc>
        <w:tc>
          <w:tcPr>
            <w:tcW w:w="156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per Share (or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1,2</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2025 through February 28, 2025</w:t>
            </w:r>
          </w:p>
        </w:tc>
        <w:tc>
          <w:tcPr>
            <w:tcW w:w="2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495,966</w:t>
            </w:r>
          </w:p>
        </w:tc>
        <w:tc>
          <w:tcPr>
            <w:tcW w:w="62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80.65</w:t>
            </w:r>
          </w:p>
        </w:tc>
        <w:tc>
          <w:tcPr>
            <w:tcW w:w="18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495,966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6,435,495</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 2025 through April 4, 2025</w:t>
            </w:r>
          </w:p>
        </w:tc>
        <w:tc>
          <w:tcPr>
            <w:tcW w:w="2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813,831</w:t>
            </w:r>
          </w:p>
        </w:tc>
        <w:tc>
          <w:tcPr>
            <w:tcW w:w="6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73.73</w:t>
            </w:r>
          </w:p>
        </w:tc>
        <w:tc>
          <w:tcPr>
            <w:tcW w:w="18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813,831</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5,621,664</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5, 2025 through May 2, 2025</w:t>
            </w:r>
          </w:p>
        </w:tc>
        <w:tc>
          <w:tcPr>
            <w:tcW w:w="2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1,777</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68.55</w:t>
            </w:r>
          </w:p>
        </w:tc>
        <w:tc>
          <w:tcPr>
            <w:tcW w:w="18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5,621,664</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1,311,574</w:t>
            </w:r>
          </w:p>
        </w:tc>
        <w:tc>
          <w:tcPr>
            <w:tcW w:w="6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76.34</w:t>
            </w:r>
          </w:p>
        </w:tc>
        <w:tc>
          <w:tcPr>
            <w:tcW w:w="18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1,309,797</w:t>
            </w: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35" w:lineRule="auto"/>
        <w:tabs>
          <w:tab w:leader="none" w:pos="212"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up to 5,000,000 shares of common stock under the stock repurchase program. The company repurchased 1,309,797 shares under this tranche of the stock repurchase program during the period indicated above and as a result, 1,621,664 shares remained available to repurchase as of May 2, 2025.</w:t>
      </w:r>
    </w:p>
    <w:p>
      <w:pPr>
        <w:spacing w:after="0" w:line="81" w:lineRule="exact"/>
        <w:rPr>
          <w:sz w:val="20"/>
          <w:szCs w:val="20"/>
          <w:color w:val="auto"/>
        </w:rPr>
      </w:pPr>
    </w:p>
    <w:p>
      <w:pPr>
        <w:ind w:left="160" w:hanging="157"/>
        <w:spacing w:after="0" w:line="227" w:lineRule="auto"/>
        <w:tabs>
          <w:tab w:leader="none" w:pos="186"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10, 2024, the company’s Board of Directors authorized the repurchase of up to an additional 4,000,000 shares of common stock under the stock repurchase program. No shares were repurchased under this tranche of the stock repurchase program during the time period indicated above.</w:t>
      </w:r>
    </w:p>
    <w:p>
      <w:pPr>
        <w:spacing w:after="0" w:line="82" w:lineRule="exact"/>
        <w:rPr>
          <w:sz w:val="20"/>
          <w:szCs w:val="20"/>
          <w:color w:val="auto"/>
        </w:rPr>
      </w:pPr>
    </w:p>
    <w:p>
      <w:pPr>
        <w:ind w:left="160" w:hanging="157"/>
        <w:spacing w:after="0" w:line="227" w:lineRule="auto"/>
        <w:tabs>
          <w:tab w:leader="none" w:pos="186"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1,777 shares of the company’s common stock repurchased in open-market transactions at an average price of $68.55 per share on behalf of a rabbi trust formed to pay benefit obligations of the company to participants in the company's deferred compensation plans. These 1,777 shares were not repurchased under the stock repurchase program.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second quarter ended May 2, 2025,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00" w:type="dxa"/>
            <w:vAlign w:val="bottom"/>
            <w:gridSpan w:val="18"/>
          </w:tcPr>
          <w:p>
            <w:pPr>
              <w:spacing w:after="0" w:line="161"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5">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30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Times New Roman" w:cs="Times New Roman" w:eastAsia="Times New Roman" w:hAnsi="Times New Roman"/>
                <w:sz w:val="15"/>
                <w:szCs w:val="15"/>
                <w:color w:val="0000FF"/>
              </w:rPr>
            </w:pPr>
            <w:hyperlink r:id="rId58">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60">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May 2, 2025, filed</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with the SEC on June 5, 2025, formatted in Inline eXtensible Business Reporting Language (Inline XBRL): (i) Condensed Consolidated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Statements of Earnings for the three and six month periods ended May 2, 2025 and May 3, 2024, (ii) Condensed Consolidated Statements of</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4" w:lineRule="exact"/>
              <w:rPr>
                <w:sz w:val="20"/>
                <w:szCs w:val="20"/>
                <w:color w:val="auto"/>
              </w:rPr>
            </w:pPr>
            <w:r>
              <w:rPr>
                <w:rFonts w:ascii="Times New Roman" w:cs="Times New Roman" w:eastAsia="Times New Roman" w:hAnsi="Times New Roman"/>
                <w:sz w:val="16"/>
                <w:szCs w:val="16"/>
                <w:color w:val="auto"/>
              </w:rPr>
              <w:t>Comprehensive Income (Loss) for the three and six month periods ended May 2, 2025 and May 3, 2024, (iii) Condensed Consolidated Balance</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Sheets as of May 2, 2025, May 3, 2024, and October 31, 2024, (iv) Condensed Consolidated Statement of Cash Flows for the six month periods</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ended May 2, 2025 and May 3, 2024, (v) Condensed Consolidated Statements of Stockholders' Equity for the three and six month periods ended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May 2, 2025 and May 3, 2024,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TORO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 June 5, 2025</w:t>
            </w:r>
          </w:p>
        </w:tc>
        <w:tc>
          <w:tcPr>
            <w:tcW w:w="262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Angela C. Drake</w:t>
            </w:r>
          </w:p>
        </w:tc>
      </w:tr>
      <w:tr>
        <w:trPr>
          <w:trHeight w:val="209"/>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2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5,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5,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May 2, 2025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5, 2025</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5, 2025</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4"/>
      <w:numFmt w:val="bullet"/>
      <w:start w:val="1"/>
    </w:lvl>
  </w:abstractNum>
  <w:abstractNum w:abstractNumId="9">
    <w:nsid w:val="6B68079A"/>
    <w:multiLevelType w:val="hybridMultilevel"/>
    <w:lvl w:ilvl="0">
      <w:lvlJc w:val="left"/>
      <w:lvlText w:val="5"/>
      <w:numFmt w:val="bullet"/>
      <w:start w:val="1"/>
    </w:lvl>
  </w:abstractNum>
  <w:abstractNum w:abstractNumId="10">
    <w:nsid w:val="4E6AFB66"/>
    <w:multiLevelType w:val="hybridMultilevel"/>
    <w:lvl w:ilvl="0">
      <w:lvlJc w:val="left"/>
      <w:lvlText w:val="7"/>
      <w:numFmt w:val="bullet"/>
      <w:start w:val="1"/>
    </w:lvl>
  </w:abstractNum>
  <w:abstractNum w:abstractNumId="11">
    <w:nsid w:val="25E45D32"/>
    <w:multiLevelType w:val="hybridMultilevel"/>
    <w:lvl w:ilvl="0">
      <w:lvlJc w:val="left"/>
      <w:lvlText w:val="8"/>
      <w:numFmt w:val="bullet"/>
      <w:start w:val="1"/>
    </w:lvl>
  </w:abstractNum>
  <w:abstractNum w:abstractNumId="12">
    <w:nsid w:val="519B500D"/>
    <w:multiLevelType w:val="hybridMultilevel"/>
    <w:lvl w:ilvl="0">
      <w:lvlJc w:val="left"/>
      <w:lvlText w:val="9"/>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bullet"/>
      <w:start w:val="1"/>
    </w:lvl>
  </w:abstractNum>
  <w:abstractNum w:abstractNumId="15">
    <w:nsid w:val="7C83E458"/>
    <w:multiLevelType w:val="hybridMultilevel"/>
    <w:lvl w:ilvl="0">
      <w:lvlJc w:val="left"/>
      <w:lvlText w:val="2"/>
      <w:numFmt w:val="bullet"/>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2"/>
      <w:numFmt w:val="bullet"/>
      <w:start w:val="1"/>
    </w:lvl>
  </w:abstractNum>
  <w:abstractNum w:abstractNumId="18">
    <w:nsid w:val="436C6125"/>
    <w:multiLevelType w:val="hybridMultilevel"/>
    <w:lvl w:ilvl="0">
      <w:lvlJc w:val="left"/>
      <w:lvlText w:val="3"/>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55" Type="http://schemas.openxmlformats.org/officeDocument/2006/relationships/hyperlink" Target="https://www.sec.gov/Archives/edgar/data/737758/000073775808000033/form8-k06172008exhibitcert.htm" TargetMode="External"/><Relationship Id="rId56" Type="http://schemas.openxmlformats.org/officeDocument/2006/relationships/hyperlink" Target="https://www.sec.gov/Archives/edgar/data/737758/000119312513105223/d501846dex31.htm" TargetMode="External"/><Relationship Id="rId57" Type="http://schemas.openxmlformats.org/officeDocument/2006/relationships/hyperlink" Target="https://www.sec.gov/Archives/edgar/data/737758/000114036123027141/brhc20053547_3-1.htm" TargetMode="External"/><Relationship Id="rId58" Type="http://schemas.openxmlformats.org/officeDocument/2006/relationships/hyperlink" Target="https://www.sec.gov/Archives/edgar/data/737758/000110465907030051/a07-10570_1ex4d3.htm" TargetMode="External"/><Relationship Id="rId59" Type="http://schemas.openxmlformats.org/officeDocument/2006/relationships/hyperlink" Target="https://www.sec.gov/Archives/edgar/data/737758/000110465907031757/a07-10570_5ex4d1.htm" TargetMode="External"/><Relationship Id="rId60" Type="http://schemas.openxmlformats.org/officeDocument/2006/relationships/hyperlink" Target="https://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2025-06-05T11:12:40Z</dcterms:created>
  <dcterms:modified xsi:type="dcterms:W3CDTF">2025-06-05T11:12:40Z</dcterms:modified>
</cp:coreProperties>
</file>