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Date of Report (Date of earliest event reported): September 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THE TORO COMPANY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1-8649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41-0580470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1"/>
              </w:rPr>
            </w:pPr>
            <w:r>
              <w:rPr>
                <w:rFonts w:ascii="Times New Roman;serif" w:hAnsi="Times New Roman;serif"/>
                <w:b/>
                <w:color w:val="000000"/>
                <w:sz w:val="21"/>
              </w:rPr>
              <w:t>8111 Lyndale Avenue South</w:t>
            </w:r>
          </w:p>
          <w:p>
            <w:pPr>
              <w:pStyle w:val="TableContents"/>
              <w:bidi w:val="0"/>
              <w:spacing w:lineRule="auto" w:line="240" w:before="0" w:after="0"/>
              <w:jc w:val="center"/>
              <w:rPr>
                <w:rFonts w:ascii="Times New Roman;serif" w:hAnsi="Times New Roman;serif"/>
                <w:b/>
                <w:color w:val="000000"/>
                <w:sz w:val="21"/>
              </w:rPr>
            </w:pPr>
            <w:r>
              <w:rPr>
                <w:rFonts w:ascii="Times New Roman;serif" w:hAnsi="Times New Roman;serif"/>
                <w:b/>
                <w:color w:val="000000"/>
                <w:sz w:val="21"/>
              </w:rPr>
              <w:t>Bloomington, Minnesota</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1"/>
              </w:rPr>
              <w:t>55420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val="false"/>
          <w:color w:val="000000"/>
          <w:sz w:val="21"/>
        </w:rPr>
        <w:t xml:space="preserve">Registrant's telephone number, including area code: </w:t>
      </w:r>
      <w:r>
        <w:rPr>
          <w:rFonts w:ascii="Times New Roman;serif" w:hAnsi="Times New Roman;serif"/>
          <w:b/>
          <w:color w:val="000000"/>
          <w:sz w:val="21"/>
        </w:rPr>
        <w:t xml:space="preserve">(952) 888-8801 </w:t>
      </w:r>
    </w:p>
    <w:p>
      <w:pPr>
        <w:pStyle w:val="TextBody"/>
        <w:bidi w:val="0"/>
        <w:spacing w:lineRule="auto" w:line="288" w:before="60" w:after="283"/>
        <w:jc w:val="center"/>
        <w:rPr>
          <w:rFonts w:ascii="Times New Roman;serif" w:hAnsi="Times New Roman;serif"/>
          <w:b/>
          <w:color w:val="000000"/>
          <w:sz w:val="21"/>
        </w:rPr>
      </w:pPr>
      <w:r>
        <w:rPr>
          <w:rFonts w:ascii="Times New Roman;serif" w:hAnsi="Times New Roman;serif"/>
          <w:b/>
          <w:color w:val="000000"/>
          <w:sz w:val="21"/>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Securities registered pursuant to Section 12(b) of the Act:</w:t>
      </w:r>
    </w:p>
    <w:tbl>
      <w:tblPr>
        <w:tblW w:w="8382" w:type="dxa"/>
        <w:jc w:val="center"/>
        <w:tblInd w:w="0" w:type="dxa"/>
        <w:tblLayout w:type="fixed"/>
        <w:tblCellMar>
          <w:top w:w="28" w:type="dxa"/>
          <w:left w:w="28" w:type="dxa"/>
          <w:bottom w:w="28" w:type="dxa"/>
          <w:right w:w="28" w:type="dxa"/>
        </w:tblCellMar>
      </w:tblPr>
      <w:tblGrid>
        <w:gridCol w:w="1319"/>
        <w:gridCol w:w="1162"/>
        <w:gridCol w:w="1178"/>
        <w:gridCol w:w="484"/>
        <w:gridCol w:w="484"/>
        <w:gridCol w:w="486"/>
        <w:gridCol w:w="956"/>
        <w:gridCol w:w="956"/>
        <w:gridCol w:w="1357"/>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TTC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right"/>
        <w:rPr/>
      </w:pPr>
      <w:r>
        <w:rPr>
          <w:rFonts w:ascii="Times New Roman;serif" w:hAnsi="Times New Roman;serif"/>
          <w:b w:val="false"/>
          <w:color w:val="000000"/>
          <w:sz w:val="21"/>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September 3, 2026, The Toro Company announced its financial results for the three and nine month periods ended July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Exhibits.</w:t>
      </w:r>
    </w:p>
    <w:tbl>
      <w:tblPr>
        <w:tblW w:w="8894" w:type="dxa"/>
        <w:jc w:val="center"/>
        <w:tblInd w:w="0" w:type="dxa"/>
        <w:tblLayout w:type="fixed"/>
        <w:tblCellMar>
          <w:top w:w="28" w:type="dxa"/>
          <w:left w:w="28" w:type="dxa"/>
          <w:bottom w:w="28" w:type="dxa"/>
          <w:right w:w="28" w:type="dxa"/>
        </w:tblCellMar>
      </w:tblPr>
      <w:tblGrid>
        <w:gridCol w:w="445"/>
        <w:gridCol w:w="391"/>
        <w:gridCol w:w="393"/>
        <w:gridCol w:w="2237"/>
        <w:gridCol w:w="2237"/>
        <w:gridCol w:w="319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tc09032026exhibit991.htm">
              <w:r>
                <w:rPr>
                  <w:rStyle w:val="InternetLink"/>
                  <w:rFonts w:ascii="Times New Roman;serif" w:hAnsi="Times New Roman;serif"/>
                  <w:b w:val="false"/>
                  <w:color w:val="0000FF"/>
                  <w:sz w:val="22"/>
                  <w:u w:val="single"/>
                </w:rPr>
                <w:t>99.1</w:t>
              </w:r>
            </w:hyperlink>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Press release dated September 3, 2026 (furnished herewith).</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555" w:type="dxa"/>
        <w:jc w:val="center"/>
        <w:tblInd w:w="0" w:type="dxa"/>
        <w:tblLayout w:type="fixed"/>
        <w:tblCellMar>
          <w:top w:w="28" w:type="dxa"/>
          <w:left w:w="28" w:type="dxa"/>
          <w:bottom w:w="28" w:type="dxa"/>
          <w:right w:w="28" w:type="dxa"/>
        </w:tblCellMar>
      </w:tblPr>
      <w:tblGrid>
        <w:gridCol w:w="885"/>
        <w:gridCol w:w="778"/>
        <w:gridCol w:w="782"/>
        <w:gridCol w:w="1202"/>
        <w:gridCol w:w="1202"/>
        <w:gridCol w:w="1706"/>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TORO COMPANY</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3, 2026</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Angela C. Drake</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Angela C. Drake</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both"/>
        <w:rPr/>
      </w:pPr>
      <w:r>
        <w:rPr/>
        <w:drawing>
          <wp:inline distT="0" distB="0" distL="0" distR="0">
            <wp:extent cx="2762250" cy="714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0" cy="714375"/>
                    </a:xfrm>
                    <a:prstGeom prst="rect">
                      <a:avLst/>
                    </a:prstGeom>
                  </pic:spPr>
                </pic:pic>
              </a:graphicData>
            </a:graphic>
          </wp:inline>
        </w:drawing>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Heather Hille</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Vice President, Corporate Affairs and Investor Relations</w:t>
      </w:r>
    </w:p>
    <w:p>
      <w:pPr>
        <w:pStyle w:val="TextBody"/>
        <w:bidi w:val="0"/>
        <w:spacing w:lineRule="auto" w:line="276" w:before="0" w:after="200"/>
        <w:jc w:val="both"/>
        <w:rPr/>
      </w:pPr>
      <w:r>
        <w:rPr>
          <w:rFonts w:ascii="Arial;sans-serif" w:hAnsi="Arial;sans-serif"/>
          <w:b w:val="false"/>
          <w:color w:val="000000"/>
          <w:sz w:val="20"/>
        </w:rPr>
        <w:t xml:space="preserve">(952) 887-8923, </w:t>
      </w:r>
      <w:r>
        <w:rPr>
          <w:rFonts w:ascii="Arial;sans-serif" w:hAnsi="Arial;sans-serif"/>
          <w:b w:val="false"/>
          <w:color w:val="0000FF"/>
          <w:sz w:val="20"/>
          <w:u w:val="single"/>
        </w:rPr>
        <w:t>heather.hille@toro.com</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Eric Herron</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Director, Investor Relations</w:t>
      </w:r>
    </w:p>
    <w:p>
      <w:pPr>
        <w:pStyle w:val="TextBody"/>
        <w:bidi w:val="0"/>
        <w:spacing w:lineRule="auto" w:line="276" w:before="0" w:after="200"/>
        <w:jc w:val="both"/>
        <w:rPr/>
      </w:pPr>
      <w:r>
        <w:rPr>
          <w:rFonts w:ascii="Arial;sans-serif" w:hAnsi="Arial;sans-serif"/>
          <w:b w:val="false"/>
          <w:color w:val="000000"/>
          <w:sz w:val="20"/>
        </w:rPr>
        <w:t xml:space="preserve">(952) 449-1377, </w:t>
      </w:r>
      <w:r>
        <w:rPr>
          <w:rFonts w:ascii="Arial;sans-serif" w:hAnsi="Arial;sans-serif"/>
          <w:b w:val="false"/>
          <w:color w:val="0000FF"/>
          <w:sz w:val="20"/>
          <w:u w:val="single"/>
        </w:rPr>
        <w:t>eric.herron@toro.com</w:t>
      </w:r>
    </w:p>
    <w:p>
      <w:pPr>
        <w:pStyle w:val="TextBody"/>
        <w:bidi w:val="0"/>
        <w:spacing w:lineRule="auto" w:line="276" w:before="0" w:after="200"/>
        <w:jc w:val="both"/>
        <w:rPr>
          <w:rFonts w:ascii="Arial;sans-serif" w:hAnsi="Arial;sans-serif"/>
          <w:b w:val="false"/>
          <w:i/>
          <w:color w:val="000000"/>
          <w:sz w:val="22"/>
        </w:rPr>
      </w:pPr>
      <w:r>
        <w:rPr>
          <w:rFonts w:ascii="Arial;sans-serif" w:hAnsi="Arial;sans-serif"/>
          <w:b w:val="false"/>
          <w:i/>
          <w:color w:val="000000"/>
          <w:sz w:val="22"/>
        </w:rPr>
        <w:t>For Immediate Release</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The Toro Company Reports Record Third-Quarter Results</w:t>
      </w:r>
    </w:p>
    <w:p>
      <w:pPr>
        <w:pStyle w:val="TextBody"/>
        <w:bidi w:val="0"/>
        <w:spacing w:lineRule="auto" w:line="276" w:before="0" w:after="200"/>
        <w:jc w:val="center"/>
        <w:rPr>
          <w:rFonts w:ascii="Arial;sans-serif" w:hAnsi="Arial;sans-serif"/>
          <w:b w:val="false"/>
          <w:i/>
          <w:color w:val="000000"/>
          <w:sz w:val="22"/>
        </w:rPr>
      </w:pPr>
      <w:r>
        <w:rPr>
          <w:rFonts w:ascii="Arial;sans-serif" w:hAnsi="Arial;sans-serif"/>
          <w:b w:val="false"/>
          <w:i/>
          <w:color w:val="000000"/>
          <w:sz w:val="22"/>
        </w:rPr>
        <w:t xml:space="preserve">Raises full-year guidance based on continued strong demand trends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2"/>
        </w:rPr>
        <w:t>Net sales up 8.4% year-over-year to $1.23 billion</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2"/>
        </w:rPr>
        <w:t>Reported EPS up 50.0% year-over-year to $0.81</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2"/>
        </w:rPr>
        <w:t>*Adjusted EPS up 7.3% year-over-year to $1.33</w:t>
      </w:r>
    </w:p>
    <w:p>
      <w:pPr>
        <w:pStyle w:val="TextBody"/>
        <w:bidi w:val="0"/>
        <w:spacing w:lineRule="auto" w:line="276" w:before="0" w:after="200"/>
        <w:ind w:left="0" w:right="0" w:hanging="360"/>
        <w:jc w:val="both"/>
        <w:rPr/>
      </w:pPr>
      <w:r>
        <w:rPr>
          <w:color w:val="000000"/>
        </w:rPr>
        <w:t>•</w:t>
      </w:r>
      <w:r>
        <w:rPr>
          <w:rFonts w:ascii="Arial;sans-serif" w:hAnsi="Arial;sans-serif"/>
          <w:b w:val="false"/>
          <w:color w:val="000000"/>
          <w:sz w:val="22"/>
        </w:rPr>
        <w:t>Returned $110 million to shareholders bringing the year-to-date total to $471 million</w:t>
      </w:r>
    </w:p>
    <w:p>
      <w:pPr>
        <w:pStyle w:val="TextBody"/>
        <w:bidi w:val="0"/>
        <w:spacing w:lineRule="auto" w:line="276" w:before="0" w:after="200"/>
        <w:jc w:val="both"/>
        <w:rPr/>
      </w:pPr>
      <w:r>
        <w:rPr>
          <w:rFonts w:ascii="Arial;sans-serif" w:hAnsi="Arial;sans-serif"/>
          <w:b/>
          <w:color w:val="000000"/>
          <w:sz w:val="22"/>
        </w:rPr>
        <w:t>BLOOMINGTON, Minn.—(BUSINESS WIRE) — September 3, 2026—</w:t>
      </w:r>
      <w:r>
        <w:rPr>
          <w:rFonts w:ascii="Arial;sans-serif" w:hAnsi="Arial;sans-serif"/>
          <w:b w:val="false"/>
          <w:color w:val="000000"/>
          <w:sz w:val="22"/>
          <w:shd w:fill="FFFFFF" w:val="clear"/>
        </w:rPr>
        <w:t>The Toro Company (NYSE: TTC), a</w:t>
      </w:r>
      <w:r>
        <w:rPr>
          <w:color w:val="0A0A0A"/>
          <w:shd w:fill="FFFFFF" w:val="clear"/>
        </w:rPr>
        <w:t xml:space="preserve"> </w:t>
      </w:r>
      <w:r>
        <w:rPr>
          <w:rFonts w:ascii="Arial;sans-serif" w:hAnsi="Arial;sans-serif"/>
          <w:b w:val="false"/>
          <w:color w:val="0A0A0A"/>
          <w:sz w:val="22"/>
          <w:shd w:fill="FFFFFF" w:val="clear"/>
        </w:rPr>
        <w:t>leading global provid</w:t>
      </w:r>
      <w:r>
        <w:rPr>
          <w:rFonts w:ascii="Arial;sans-serif" w:hAnsi="Arial;sans-serif"/>
          <w:b w:val="false"/>
          <w:color w:val="0A0A0A"/>
          <w:sz w:val="22"/>
        </w:rPr>
        <w:t xml:space="preserve">er of solutions for the outdoor environment, </w:t>
      </w:r>
      <w:r>
        <w:rPr>
          <w:rFonts w:ascii="Arial;sans-serif" w:hAnsi="Arial;sans-serif"/>
          <w:b w:val="false"/>
          <w:color w:val="000000"/>
          <w:sz w:val="22"/>
        </w:rPr>
        <w:t>today reported results for its fiscal third-quarter ended July 31, 2026.</w:t>
      </w:r>
    </w:p>
    <w:p>
      <w:pPr>
        <w:pStyle w:val="TextBody"/>
        <w:bidi w:val="0"/>
        <w:spacing w:lineRule="auto" w:line="276" w:before="0" w:after="200"/>
        <w:jc w:val="both"/>
        <w:rPr/>
      </w:pPr>
      <w:r>
        <w:rPr>
          <w:rFonts w:ascii="Arial;sans-serif" w:hAnsi="Arial;sans-serif"/>
          <w:b w:val="false"/>
          <w:color w:val="0A0A0A"/>
          <w:sz w:val="22"/>
        </w:rPr>
        <w:t>"Strong momentum continued in the third quarter, supported by sustained demand across our portfolio and our consistent focus on operational excellence and margin expansion,” said Richard M. Olson, chairman and chief executive officer. “The Professional segment demand drives overall performance, aided by Residential improvement on both the top and bottom line. We continue to reduce inventory and improve working capital. These company initiatives also drive robust free cash flow and value creation for our shareholders, through dividends and share repurchases</w:t>
      </w:r>
      <w:r>
        <w:rPr>
          <w:rFonts w:ascii="Arial;sans-serif" w:hAnsi="Arial;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both"/>
        <w:rPr>
          <w:rFonts w:ascii="Arial;sans-serif" w:hAnsi="Arial;sans-serif"/>
          <w:b/>
          <w:color w:val="000000"/>
          <w:sz w:val="22"/>
          <w:u w:val="single"/>
        </w:rPr>
      </w:pPr>
      <w:r>
        <w:rPr>
          <w:rFonts w:ascii="Arial;sans-serif" w:hAnsi="Arial;sans-serif"/>
          <w:b/>
          <w:color w:val="000000"/>
          <w:sz w:val="22"/>
          <w:u w:val="single"/>
        </w:rPr>
        <w:t>OUTLOOK</w:t>
      </w:r>
    </w:p>
    <w:p>
      <w:pPr>
        <w:pStyle w:val="TextBody"/>
        <w:bidi w:val="0"/>
        <w:spacing w:lineRule="auto" w:line="268" w:before="0" w:after="0"/>
        <w:jc w:val="left"/>
        <w:rPr>
          <w:color w:val="0A0A0A"/>
        </w:rPr>
      </w:pPr>
      <w:r>
        <w:rPr>
          <w:color w:val="0A0A0A"/>
        </w:rPr>
        <w:t>“</w:t>
      </w:r>
      <w:r>
        <w:rPr>
          <w:rFonts w:ascii="Arial;sans-serif" w:hAnsi="Arial;sans-serif"/>
          <w:b w:val="false"/>
          <w:color w:val="0A0A0A"/>
          <w:sz w:val="22"/>
        </w:rPr>
        <w:t>Our end markets are healthy, customer response to our innovative new products has been strong, and our team’s disciplined execution continues to drive growth across all of our businesses. Productivity initiatives are delivering margin expansion and the team is effectively managing inventory. This gives us the confidence to raise our full-year guidance.”</w:t>
      </w:r>
    </w:p>
    <w:p>
      <w:pPr>
        <w:pStyle w:val="TextBody"/>
        <w:bidi w:val="0"/>
        <w:spacing w:before="0" w:after="0"/>
        <w:jc w:val="left"/>
        <w:rPr/>
      </w:pPr>
      <w:r>
        <w:rPr/>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The company is raising its full-year net sales and *adjusted EPS guidance and now expects total company net sales growth in the range of 6.3% to 6.6%, up from the previous range of 4.0% to 6.5%, and *adjusted EPS in the range of $4.60 to $4.65, up from the previous range of $4.50 to $4.62.</w:t>
      </w:r>
    </w:p>
    <w:p>
      <w:pPr>
        <w:pStyle w:val="TextBody"/>
        <w:bidi w:val="0"/>
        <w:spacing w:lineRule="auto" w:line="276" w:before="0" w:after="200"/>
        <w:jc w:val="both"/>
        <w:rPr>
          <w:rFonts w:ascii="Arial;sans-serif" w:hAnsi="Arial;sans-serif"/>
          <w:b/>
          <w:color w:val="000000"/>
          <w:sz w:val="22"/>
          <w:u w:val="single"/>
        </w:rPr>
      </w:pPr>
      <w:r>
        <w:rPr>
          <w:rFonts w:ascii="Arial;sans-serif" w:hAnsi="Arial;sans-serif"/>
          <w:b/>
          <w:color w:val="000000"/>
          <w:sz w:val="22"/>
          <w:u w:val="single"/>
        </w:rPr>
        <w:t>THIRD-QUARTER FISCAL 2026 FINANCIAL HIGHLIGHTS</w:t>
      </w:r>
    </w:p>
    <w:tbl>
      <w:tblPr>
        <w:tblW w:w="10205" w:type="dxa"/>
        <w:jc w:val="left"/>
        <w:tblInd w:w="0" w:type="dxa"/>
        <w:tblLayout w:type="fixed"/>
        <w:tblCellMar>
          <w:top w:w="28" w:type="dxa"/>
          <w:left w:w="28" w:type="dxa"/>
          <w:bottom w:w="28" w:type="dxa"/>
          <w:right w:w="28" w:type="dxa"/>
        </w:tblCellMar>
      </w:tblPr>
      <w:tblGrid>
        <w:gridCol w:w="673"/>
        <w:gridCol w:w="574"/>
        <w:gridCol w:w="576"/>
        <w:gridCol w:w="109"/>
        <w:gridCol w:w="109"/>
        <w:gridCol w:w="109"/>
        <w:gridCol w:w="211"/>
        <w:gridCol w:w="766"/>
        <w:gridCol w:w="109"/>
        <w:gridCol w:w="109"/>
        <w:gridCol w:w="109"/>
        <w:gridCol w:w="109"/>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11"/>
        <w:gridCol w:w="766"/>
        <w:gridCol w:w="109"/>
        <w:gridCol w:w="109"/>
        <w:gridCol w:w="109"/>
        <w:gridCol w:w="109"/>
        <w:gridCol w:w="208"/>
        <w:gridCol w:w="208"/>
        <w:gridCol w:w="607"/>
      </w:tblGrid>
      <w:tr>
        <w:trPr/>
        <w:tc>
          <w:tcPr>
            <w:tcW w:w="6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Adjusted*</w:t>
            </w:r>
          </w:p>
        </w:tc>
      </w:tr>
      <w:tr>
        <w:trPr/>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(dollars 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F26 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F25 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F26 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F25 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Change</w:t>
            </w:r>
          </w:p>
        </w:tc>
      </w:tr>
      <w:tr>
        <w:trPr/>
        <w:tc>
          <w:tcPr>
            <w:tcW w:w="1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both"/>
        <w:rPr>
          <w:rFonts w:ascii="Arial;sans-serif" w:hAnsi="Arial;sans-serif"/>
          <w:b/>
          <w:color w:val="000000"/>
          <w:sz w:val="22"/>
          <w:u w:val="single"/>
        </w:rPr>
      </w:pPr>
      <w:r>
        <w:rPr>
          <w:rFonts w:ascii="Arial;sans-serif" w:hAnsi="Arial;sans-serif"/>
          <w:b/>
          <w:color w:val="000000"/>
          <w:sz w:val="22"/>
          <w:u w:val="single"/>
        </w:rPr>
        <w:t>THIRD-QUARTER FISCAL 2026 SEGMENT RESULTS</w:t>
      </w:r>
    </w:p>
    <w:p>
      <w:pPr>
        <w:pStyle w:val="TextBody"/>
        <w:bidi w:val="0"/>
        <w:spacing w:lineRule="auto" w:line="276" w:before="0" w:after="200"/>
        <w:jc w:val="both"/>
        <w:rPr>
          <w:rFonts w:ascii="Arial;sans-serif" w:hAnsi="Arial;sans-serif"/>
          <w:b/>
          <w:color w:val="000000"/>
          <w:sz w:val="22"/>
        </w:rPr>
      </w:pPr>
      <w:r>
        <w:rPr>
          <w:rFonts w:ascii="Arial;sans-serif" w:hAnsi="Arial;sans-serif"/>
          <w:b/>
          <w:color w:val="000000"/>
          <w:sz w:val="22"/>
        </w:rPr>
        <w:t>Professional Segment</w:t>
      </w:r>
    </w:p>
    <w:p>
      <w:pPr>
        <w:pStyle w:val="TextBody"/>
        <w:bidi w:val="0"/>
        <w:spacing w:lineRule="auto" w:line="276" w:before="0" w:after="200"/>
        <w:ind w:left="0" w:right="0" w:hanging="360"/>
        <w:jc w:val="both"/>
        <w:rPr/>
      </w:pPr>
      <w:r>
        <w:rPr>
          <w:color w:val="000000"/>
        </w:rPr>
        <w:t>•</w:t>
      </w:r>
      <w:r>
        <w:rPr>
          <w:rFonts w:ascii="Arial;sans-serif" w:hAnsi="Arial;sans-serif"/>
          <w:b w:val="false"/>
          <w:color w:val="000000"/>
          <w:sz w:val="22"/>
        </w:rPr>
        <w:t>Professional segment net sales for the third quarter were $1,012.6 million, up 8.8% from $930.8 million in the same period last year. The increase was driven primarily by higher volume, net price realization, and the Tornado acquisition.</w:t>
      </w:r>
    </w:p>
    <w:p>
      <w:pPr>
        <w:pStyle w:val="TextBody"/>
        <w:bidi w:val="0"/>
        <w:spacing w:lineRule="auto" w:line="276" w:before="0" w:after="200"/>
        <w:ind w:left="0" w:right="0" w:hanging="360"/>
        <w:jc w:val="both"/>
        <w:rPr/>
      </w:pPr>
      <w:r>
        <w:rPr>
          <w:color w:val="000000"/>
        </w:rPr>
        <w:t>•</w:t>
      </w:r>
      <w:r>
        <w:rPr>
          <w:rFonts w:ascii="Arial;sans-serif" w:hAnsi="Arial;sans-serif"/>
          <w:b w:val="false"/>
          <w:color w:val="000000"/>
          <w:sz w:val="22"/>
        </w:rPr>
        <w:t>Professional segment earnings for the third quarter were $211.8 million, up from $198.5 million in the same period last year, and when expressed as a percentage of net sales, 20.9%, down from 21.3% in the prior-year period. The margin decrease was primarily due to higher material and manufacturing costs and product mix, partially offset by net price realization, productivity improvements, and net sales leverage.</w:t>
      </w:r>
    </w:p>
    <w:p>
      <w:pPr>
        <w:pStyle w:val="TextBody"/>
        <w:bidi w:val="0"/>
        <w:spacing w:lineRule="auto" w:line="276" w:before="0" w:after="200"/>
        <w:jc w:val="both"/>
        <w:rPr>
          <w:rFonts w:ascii="Arial;sans-serif" w:hAnsi="Arial;sans-serif"/>
          <w:b/>
          <w:color w:val="000000"/>
          <w:sz w:val="22"/>
        </w:rPr>
      </w:pPr>
      <w:r>
        <w:rPr>
          <w:rFonts w:ascii="Arial;sans-serif" w:hAnsi="Arial;sans-serif"/>
          <w:b/>
          <w:color w:val="000000"/>
          <w:sz w:val="22"/>
        </w:rPr>
        <w:t>Residential Segment</w:t>
      </w:r>
    </w:p>
    <w:p>
      <w:pPr>
        <w:pStyle w:val="TextBody"/>
        <w:bidi w:val="0"/>
        <w:spacing w:lineRule="auto" w:line="276" w:before="0" w:after="200"/>
        <w:ind w:left="0" w:right="0" w:hanging="360"/>
        <w:jc w:val="both"/>
        <w:rPr/>
      </w:pPr>
      <w:r>
        <w:rPr>
          <w:color w:val="000000"/>
        </w:rPr>
        <w:t>•</w:t>
      </w:r>
      <w:r>
        <w:rPr>
          <w:rFonts w:ascii="Arial;sans-serif" w:hAnsi="Arial;sans-serif"/>
          <w:b w:val="false"/>
          <w:color w:val="000000"/>
          <w:sz w:val="22"/>
        </w:rPr>
        <w:t>Residential segment net sales for the third quarter were $209.3 million, up 8.6% from $192.80 million in the same period last year. The increase was primarily driven by higher volume of walk power mowers and net price realization.</w:t>
      </w:r>
    </w:p>
    <w:p>
      <w:pPr>
        <w:pStyle w:val="TextBody"/>
        <w:bidi w:val="0"/>
        <w:spacing w:lineRule="auto" w:line="276" w:before="0" w:after="200"/>
        <w:ind w:left="0" w:right="0" w:hanging="360"/>
        <w:jc w:val="both"/>
        <w:rPr/>
      </w:pPr>
      <w:r>
        <w:rPr>
          <w:color w:val="000000"/>
        </w:rPr>
        <w:t>•</w:t>
      </w:r>
      <w:r>
        <w:rPr>
          <w:rFonts w:ascii="Arial;sans-serif" w:hAnsi="Arial;sans-serif"/>
          <w:b w:val="false"/>
          <w:color w:val="000000"/>
          <w:sz w:val="22"/>
        </w:rPr>
        <w:t>Residential segment earnings for the third quarter were $12.4 million, up from $3.70 million in the same period last year, and when expressed as a percentage of net sales, 5.9%, up from 1.9% in the prior-year period. The increase was largely driven by productivity improvements, net price realization, net sales leverage, and prior year inventory valuation adjustments that did not recur, partially offset by higher material and manufacturing costs.</w:t>
      </w:r>
    </w:p>
    <w:p>
      <w:pPr>
        <w:pStyle w:val="TextBody"/>
        <w:bidi w:val="0"/>
        <w:spacing w:lineRule="auto" w:line="276" w:before="0" w:after="200"/>
        <w:jc w:val="both"/>
        <w:rPr>
          <w:rFonts w:ascii="Arial;sans-serif" w:hAnsi="Arial;sans-serif"/>
          <w:b/>
          <w:color w:val="000000"/>
          <w:sz w:val="22"/>
          <w:u w:val="single"/>
        </w:rPr>
      </w:pPr>
      <w:r>
        <w:rPr>
          <w:rFonts w:ascii="Arial;sans-serif" w:hAnsi="Arial;sans-serif"/>
          <w:b/>
          <w:color w:val="000000"/>
          <w:sz w:val="22"/>
          <w:u w:val="single"/>
        </w:rPr>
        <w:t>OPERATING RESULTS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Gross margin and *adjusted gross margin for the third quarter were 34.1% and 35.0%, respectively, up from 33.7% and 34.4%, respectively, in the same prior-year period. The change in gross margin was primarily due to net price realization, productivity improvements, and net sales leverage, partially offset by higher material and manufacturing costs.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SG&amp;A expense as a percentage of net sales for the third quarter was 21.2%, compared with 20.8% in the prior-year period, primarily driven by higher incentive expenses.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Operating earnings as a percentage of net sales were 9.4% for the third quarter, compared with 5.7% in the same prior-year period. *Adjusted operating earnings as a percentage of net sales for the third quarter were 13.9%, compared with 13.6% in the same prior-year period.</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Interest expense was $13.8 million for the third quarter, down $1.3 million from the same prior-year period. This decrease was primarily due to lower average interest rates and lower average outstanding borrowings.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The reported effective tax rate for the third quarter was 28.0%, compared with 7.4% in the same prior-year period, primarily due to the impact of non-recurring adjustments and a less favorable geographic mix of earnings. The *adjusted effective tax rate for the third quarter was 22.4% compared with 17.3% in the same prior-year period, primarily due to a less favorable geographic mix of earnings.</w:t>
      </w:r>
    </w:p>
    <w:p>
      <w:pPr>
        <w:pStyle w:val="TextBody"/>
        <w:bidi w:val="0"/>
        <w:spacing w:before="0" w:after="200"/>
        <w:jc w:val="both"/>
        <w:rPr/>
      </w:pPr>
      <w:r>
        <w:rPr/>
      </w:r>
    </w:p>
    <w:p>
      <w:pPr>
        <w:pStyle w:val="TextBody"/>
        <w:bidi w:val="0"/>
        <w:spacing w:lineRule="auto" w:line="276" w:before="0" w:after="200"/>
        <w:jc w:val="both"/>
        <w:rPr>
          <w:rFonts w:ascii="Arial;sans-serif" w:hAnsi="Arial;sans-serif"/>
          <w:b w:val="false"/>
          <w:i/>
          <w:color w:val="000000"/>
          <w:sz w:val="20"/>
        </w:rPr>
      </w:pPr>
      <w:r>
        <w:rPr>
          <w:rFonts w:ascii="Arial;sans-serif" w:hAnsi="Arial;sans-serif"/>
          <w:b w:val="false"/>
          <w:i/>
          <w:color w:val="000000"/>
          <w:sz w:val="20"/>
        </w:rPr>
        <w:t>*Non-GAAP financial measure. Please refer to the “Use of Non-GAAP Financial Information” for details regarding these measures, as well as the tables provided for a reconciliation of historical non-GAAP financial measures to the most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LIVE CONFERENCE CALL</w:t>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September 3, 2026 at 10:00a.m. CT</w:t>
      </w:r>
    </w:p>
    <w:p>
      <w:pPr>
        <w:pStyle w:val="TextBody"/>
        <w:bidi w:val="0"/>
        <w:spacing w:lineRule="auto" w:line="276" w:before="0" w:after="200"/>
        <w:jc w:val="both"/>
        <w:rPr>
          <w:rFonts w:ascii="Arial;sans-serif" w:hAnsi="Arial;sans-serif"/>
          <w:b w:val="false"/>
          <w:color w:val="0000FF"/>
          <w:sz w:val="22"/>
          <w:u w:val="single"/>
        </w:rPr>
      </w:pPr>
      <w:r>
        <w:rPr>
          <w:rFonts w:ascii="Arial;sans-serif" w:hAnsi="Arial;sans-serif"/>
          <w:b w:val="false"/>
          <w:color w:val="0000FF"/>
          <w:sz w:val="22"/>
          <w:u w:val="single"/>
        </w:rPr>
        <w:t>www.thetorocompany.com/invest</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The Toro Company will conduct its earnings call and webcast for investors beginning at 10:00a.m. CT on September 3, 2026. The webcast will be available at www.thetorocompany.com/invest. Webcast participants will need to complete a brief registration form and should allocate extra time before the webcast begins to register and, if necessary, install audio software.</w:t>
      </w:r>
    </w:p>
    <w:p>
      <w:pPr>
        <w:pStyle w:val="TextBody"/>
        <w:bidi w:val="0"/>
        <w:spacing w:lineRule="auto" w:line="276" w:before="0" w:after="200"/>
        <w:jc w:val="both"/>
        <w:rPr>
          <w:rFonts w:ascii="Arial;sans-serif" w:hAnsi="Arial;sans-serif"/>
          <w:b/>
          <w:color w:val="000000"/>
          <w:sz w:val="22"/>
        </w:rPr>
      </w:pPr>
      <w:r>
        <w:rPr>
          <w:rFonts w:ascii="Arial;sans-serif" w:hAnsi="Arial;sans-serif"/>
          <w:b/>
          <w:color w:val="000000"/>
          <w:sz w:val="22"/>
        </w:rPr>
        <w:t>About The Toro Company</w:t>
      </w:r>
    </w:p>
    <w:p>
      <w:pPr>
        <w:pStyle w:val="TextBody"/>
        <w:bidi w:val="0"/>
        <w:spacing w:lineRule="auto" w:line="276" w:before="0" w:after="200"/>
        <w:jc w:val="both"/>
        <w:rPr/>
      </w:pPr>
      <w:r>
        <w:rPr>
          <w:rFonts w:ascii="Arial;sans-serif" w:hAnsi="Arial;sans-serif"/>
          <w:b w:val="false"/>
          <w:color w:val="000000"/>
          <w:sz w:val="22"/>
        </w:rPr>
        <w:t xml:space="preserve">The Toro Company (NYSE: TTC) is a leading global provider of solutions for the outdoor environment including turf and landscape maintenance, snow and ice management, underground construction, rental and specialty construction, and irrigation and outdoor lighting solutions. With net sales of $4.5 billion in fiscal 2025,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sans-serif" w:hAnsi="Arial;sans-serif"/>
          <w:b w:val="false"/>
          <w:color w:val="0000FF"/>
          <w:sz w:val="22"/>
          <w:u w:val="single"/>
        </w:rPr>
        <w:t>www.thetorocompany.com</w:t>
      </w:r>
      <w:r>
        <w:rPr>
          <w:rFonts w:ascii="Arial;sans-serif" w:hAnsi="Arial;sans-serif"/>
          <w:b w:val="false"/>
          <w:color w:val="000000"/>
          <w:sz w:val="22"/>
        </w:rPr>
        <w:t>.</w:t>
      </w:r>
    </w:p>
    <w:p>
      <w:pPr>
        <w:pStyle w:val="TextBody"/>
        <w:bidi w:val="0"/>
        <w:spacing w:lineRule="auto" w:line="276" w:before="0" w:after="200"/>
        <w:jc w:val="both"/>
        <w:rPr>
          <w:rFonts w:ascii="Arial;sans-serif" w:hAnsi="Arial;sans-serif"/>
          <w:b/>
          <w:color w:val="000000"/>
          <w:sz w:val="22"/>
        </w:rPr>
      </w:pPr>
      <w:r>
        <w:rPr>
          <w:rFonts w:ascii="Arial;sans-serif" w:hAnsi="Arial;sans-serif"/>
          <w:b/>
          <w:color w:val="000000"/>
          <w:sz w:val="22"/>
        </w:rPr>
        <w:t>Use of Non-GAAP Financial Information</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 xml:space="preserve">The Toro Company does not provide a quantitative reconciliation of the company’s projected range for adjusted diluted EPS for fiscal 2026 to diluted EPS, which is the most directly comparable GAAP measure, in reliance on the unreasonable efforts exception provided under Item 10(e)(1)(i)(B) of Regulation S-K. The company’s adjusted diluted EPS guidance for fiscal 2026 excludes certain items that are inherently uncertain and difficult to predict, including certain non-cash, large and/or unpredictable charges and benefits; acquisitions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2026 to diluted EPS reconciliation without unreasonable efforts. A quantitative reconciliation of adjusted diluted EPS for fiscal 2026 to diluted EPS would imply a degree of precision and certainty as to these future items that does not exist and could be confusing to investors. From a qualitative perspective, it is anticipated that the differences between adjusted diluted EPS for fiscal 2026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pStyle w:val="TextBody"/>
        <w:bidi w:val="0"/>
        <w:spacing w:lineRule="auto" w:line="276" w:before="0" w:after="20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76" w:before="0" w:after="200"/>
        <w:jc w:val="both"/>
        <w:rPr>
          <w:rFonts w:ascii="Arial;sans-serif" w:hAnsi="Arial;sans-serif"/>
          <w:b w:val="false"/>
          <w:color w:val="000000"/>
          <w:sz w:val="22"/>
        </w:rPr>
      </w:pPr>
      <w:r>
        <w:rPr>
          <w:rFonts w:ascii="Arial;sans-serif" w:hAnsi="Arial;sans-serif"/>
          <w:b w:val="false"/>
          <w:color w:val="000000"/>
          <w:sz w:val="22"/>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"remain," “promise,” “may,” “likely,” “intend,” “can,” “seek,” “pursue,” “potential,”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2026 financial guidance, expectations regarding demand trends, our recent strategic acquisition, and the success of new products,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or strategic partnership;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recent acquisition of Tornado Infrastructure Equipment Ltd. and possible additional future impairment of goodwill or other intangible assets; impacts AMP and any future restructuring activities or productivity or cost savings initiatives;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pStyle w:val="TextBody"/>
        <w:bidi w:val="0"/>
        <w:spacing w:lineRule="auto" w:line="276" w:before="0" w:after="200"/>
        <w:jc w:val="center"/>
        <w:rPr>
          <w:rFonts w:ascii="Arial;sans-serif" w:hAnsi="Arial;sans-serif"/>
          <w:b/>
          <w:color w:val="000000"/>
          <w:sz w:val="22"/>
        </w:rPr>
      </w:pPr>
      <w:r>
        <w:rPr>
          <w:rFonts w:ascii="Arial;sans-serif" w:hAnsi="Arial;sans-serif"/>
          <w:b/>
          <w:color w:val="000000"/>
          <w:sz w:val="22"/>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THE TORO COMPANY AND SUBSIDIARIES</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Earnings (Unaudited)</w:t>
      </w:r>
    </w:p>
    <w:p>
      <w:pPr>
        <w:pStyle w:val="TextBody"/>
        <w:bidi w:val="0"/>
        <w:spacing w:lineRule="auto" w:line="276" w:before="0" w:after="200"/>
        <w:jc w:val="center"/>
        <w:rPr>
          <w:rFonts w:ascii="Arial;sans-serif" w:hAnsi="Arial;sans-serif"/>
          <w:b/>
          <w:color w:val="000000"/>
          <w:sz w:val="22"/>
        </w:rPr>
      </w:pPr>
      <w:r>
        <w:rPr>
          <w:rFonts w:ascii="Arial;sans-serif" w:hAnsi="Arial;sans-serif"/>
          <w:b/>
          <w:color w:val="000000"/>
          <w:sz w:val="22"/>
        </w:rPr>
        <w:t>(Dollars and shares in millions, except per-share data)</w:t>
      </w:r>
    </w:p>
    <w:tbl>
      <w:tblPr>
        <w:tblW w:w="10205" w:type="dxa"/>
        <w:jc w:val="left"/>
        <w:tblInd w:w="0" w:type="dxa"/>
        <w:tblLayout w:type="fixed"/>
        <w:tblCellMar>
          <w:top w:w="28" w:type="dxa"/>
          <w:left w:w="28" w:type="dxa"/>
          <w:bottom w:w="28" w:type="dxa"/>
          <w:right w:w="28" w:type="dxa"/>
        </w:tblCellMar>
      </w:tblPr>
      <w:tblGrid>
        <w:gridCol w:w="1920"/>
        <w:gridCol w:w="1065"/>
        <w:gridCol w:w="1067"/>
        <w:gridCol w:w="109"/>
        <w:gridCol w:w="109"/>
        <w:gridCol w:w="109"/>
        <w:gridCol w:w="211"/>
        <w:gridCol w:w="766"/>
        <w:gridCol w:w="271"/>
        <w:gridCol w:w="109"/>
        <w:gridCol w:w="109"/>
        <w:gridCol w:w="109"/>
        <w:gridCol w:w="222"/>
        <w:gridCol w:w="807"/>
        <w:gridCol w:w="285"/>
        <w:gridCol w:w="211"/>
        <w:gridCol w:w="766"/>
        <w:gridCol w:w="271"/>
        <w:gridCol w:w="109"/>
        <w:gridCol w:w="109"/>
        <w:gridCol w:w="109"/>
        <w:gridCol w:w="221"/>
        <w:gridCol w:w="805"/>
        <w:gridCol w:w="336"/>
      </w:tblGrid>
      <w:tr>
        <w:trPr/>
        <w:tc>
          <w:tcPr>
            <w:tcW w:w="192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4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1, 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r>
      <w:tr>
        <w:trPr/>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3,444.2 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1,154.1 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755.6 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Non-cash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Earnings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provision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net earnings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net earnings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number of shares of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number of shares of common stock outstanding — Diluted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95.6 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99.0 </w:t>
            </w:r>
          </w:p>
        </w:tc>
        <w:tc>
          <w:tcPr>
            <w:tcW w:w="28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100.3 </w:t>
            </w:r>
          </w:p>
        </w:tc>
        <w:tc>
          <w:tcPr>
            <w:tcW w:w="3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Segment Data (Unaudited)</w:t>
      </w:r>
    </w:p>
    <w:p>
      <w:pPr>
        <w:pStyle w:val="TextBody"/>
        <w:bidi w:val="0"/>
        <w:spacing w:lineRule="auto" w:line="276" w:before="0" w:after="200"/>
        <w:jc w:val="center"/>
        <w:rPr>
          <w:rFonts w:ascii="Arial;sans-serif" w:hAnsi="Arial;sans-serif"/>
          <w:b/>
          <w:color w:val="000000"/>
          <w:sz w:val="22"/>
        </w:rPr>
      </w:pPr>
      <w:r>
        <w:rPr>
          <w:rFonts w:ascii="Arial;sans-serif" w:hAnsi="Arial;sans-serif"/>
          <w:b/>
          <w:color w:val="000000"/>
          <w:sz w:val="22"/>
        </w:rPr>
        <w:t>(Dollars in millions)</w:t>
      </w:r>
    </w:p>
    <w:tbl>
      <w:tblPr>
        <w:tblW w:w="9216" w:type="dxa"/>
        <w:jc w:val="left"/>
        <w:tblInd w:w="0" w:type="dxa"/>
        <w:tblLayout w:type="fixed"/>
        <w:tblCellMar>
          <w:top w:w="28" w:type="dxa"/>
          <w:left w:w="28" w:type="dxa"/>
          <w:bottom w:w="28" w:type="dxa"/>
          <w:right w:w="28" w:type="dxa"/>
        </w:tblCellMar>
      </w:tblPr>
      <w:tblGrid>
        <w:gridCol w:w="1076"/>
        <w:gridCol w:w="945"/>
        <w:gridCol w:w="949"/>
        <w:gridCol w:w="109"/>
        <w:gridCol w:w="109"/>
        <w:gridCol w:w="109"/>
        <w:gridCol w:w="239"/>
        <w:gridCol w:w="868"/>
        <w:gridCol w:w="123"/>
        <w:gridCol w:w="109"/>
        <w:gridCol w:w="109"/>
        <w:gridCol w:w="109"/>
        <w:gridCol w:w="268"/>
        <w:gridCol w:w="974"/>
        <w:gridCol w:w="138"/>
        <w:gridCol w:w="239"/>
        <w:gridCol w:w="868"/>
        <w:gridCol w:w="123"/>
        <w:gridCol w:w="109"/>
        <w:gridCol w:w="109"/>
        <w:gridCol w:w="109"/>
        <w:gridCol w:w="266"/>
        <w:gridCol w:w="965"/>
        <w:gridCol w:w="19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1, 2025</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2,713.7 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3,686.8 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3,444.2 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*Includes international net sales of:</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231.9 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698.2 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666.2 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23" w:type="dxa"/>
        <w:jc w:val="left"/>
        <w:tblInd w:w="0" w:type="dxa"/>
        <w:tblLayout w:type="fixed"/>
        <w:tblCellMar>
          <w:top w:w="28" w:type="dxa"/>
          <w:left w:w="28" w:type="dxa"/>
          <w:bottom w:w="28" w:type="dxa"/>
          <w:right w:w="28" w:type="dxa"/>
        </w:tblCellMar>
      </w:tblPr>
      <w:tblGrid>
        <w:gridCol w:w="826"/>
        <w:gridCol w:w="725"/>
        <w:gridCol w:w="728"/>
        <w:gridCol w:w="109"/>
        <w:gridCol w:w="109"/>
        <w:gridCol w:w="109"/>
        <w:gridCol w:w="277"/>
        <w:gridCol w:w="810"/>
        <w:gridCol w:w="143"/>
        <w:gridCol w:w="109"/>
        <w:gridCol w:w="109"/>
        <w:gridCol w:w="109"/>
        <w:gridCol w:w="311"/>
        <w:gridCol w:w="908"/>
        <w:gridCol w:w="160"/>
        <w:gridCol w:w="277"/>
        <w:gridCol w:w="810"/>
        <w:gridCol w:w="143"/>
        <w:gridCol w:w="109"/>
        <w:gridCol w:w="109"/>
        <w:gridCol w:w="109"/>
        <w:gridCol w:w="306"/>
        <w:gridCol w:w="895"/>
        <w:gridCol w:w="223"/>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profit/(loss)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1, 2025</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Other</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Total segment profit/(loss)</w:t>
            </w:r>
            <w:r>
              <w:rPr>
                <w:rFonts w:ascii="Arial;sans-serif" w:hAnsi="Arial;sans-serif"/>
                <w:b w:val="false"/>
                <w:color w:val="000000"/>
                <w:sz w:val="12"/>
              </w:rPr>
              <w:t>1</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both"/>
        <w:rPr/>
      </w:pP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Presentation of segment profit/(loss) for the third quarter of fiscal 2025 has been conformed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THE TORO COMPANY AND SUBSIDIARIES</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Balance Sheets (Unaudited)</w:t>
      </w:r>
    </w:p>
    <w:p>
      <w:pPr>
        <w:pStyle w:val="TextBody"/>
        <w:bidi w:val="0"/>
        <w:spacing w:lineRule="auto" w:line="276" w:before="0" w:after="200"/>
        <w:jc w:val="center"/>
        <w:rPr>
          <w:rFonts w:ascii="Arial;sans-serif" w:hAnsi="Arial;sans-serif"/>
          <w:b/>
          <w:color w:val="000000"/>
          <w:sz w:val="22"/>
        </w:rPr>
      </w:pPr>
      <w:r>
        <w:rPr>
          <w:rFonts w:ascii="Arial;sans-serif" w:hAnsi="Arial;sans-serif"/>
          <w:b/>
          <w:color w:val="000000"/>
          <w:sz w:val="22"/>
        </w:rPr>
        <w:t>(Dollars in millions)</w:t>
      </w:r>
    </w:p>
    <w:tbl>
      <w:tblPr>
        <w:tblW w:w="10159" w:type="dxa"/>
        <w:jc w:val="left"/>
        <w:tblInd w:w="0" w:type="dxa"/>
        <w:tblLayout w:type="fixed"/>
        <w:tblCellMar>
          <w:top w:w="28" w:type="dxa"/>
          <w:left w:w="28" w:type="dxa"/>
          <w:bottom w:w="28" w:type="dxa"/>
          <w:right w:w="28" w:type="dxa"/>
        </w:tblCellMar>
      </w:tblPr>
      <w:tblGrid>
        <w:gridCol w:w="1792"/>
        <w:gridCol w:w="1578"/>
        <w:gridCol w:w="1594"/>
        <w:gridCol w:w="109"/>
        <w:gridCol w:w="109"/>
        <w:gridCol w:w="109"/>
        <w:gridCol w:w="239"/>
        <w:gridCol w:w="868"/>
        <w:gridCol w:w="123"/>
        <w:gridCol w:w="109"/>
        <w:gridCol w:w="109"/>
        <w:gridCol w:w="109"/>
        <w:gridCol w:w="268"/>
        <w:gridCol w:w="974"/>
        <w:gridCol w:w="138"/>
        <w:gridCol w:w="109"/>
        <w:gridCol w:w="109"/>
        <w:gridCol w:w="109"/>
        <w:gridCol w:w="299"/>
        <w:gridCol w:w="1087"/>
        <w:gridCol w:w="218"/>
      </w:tblGrid>
      <w:tr>
        <w:trPr/>
        <w:tc>
          <w:tcPr>
            <w:tcW w:w="179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October 31, 2025</w:t>
            </w:r>
          </w:p>
        </w:tc>
      </w:tr>
      <w:tr>
        <w:trPr/>
        <w:tc>
          <w:tcPr>
            <w:tcW w:w="4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u w:val="single"/>
              </w:rPr>
            </w:pPr>
            <w:r>
              <w:rPr>
                <w:rFonts w:ascii="Arial;sans-serif" w:hAnsi="Arial;sans-serif"/>
                <w:b w:val="false"/>
                <w:color w:val="000000"/>
                <w:sz w:val="19"/>
                <w:u w:val="single"/>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378.2 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920.8 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1,657.5 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1,794.1 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1,705.1 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in finance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3,519.8 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3,438.8 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u w:val="single"/>
              </w:rPr>
            </w:pPr>
            <w:r>
              <w:rPr>
                <w:rFonts w:ascii="Arial;sans-serif" w:hAnsi="Arial;sans-serif"/>
                <w:b w:val="false"/>
                <w:color w:val="000000"/>
                <w:sz w:val="19"/>
                <w:u w:val="single"/>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portion of long-term debt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912.4 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Common stock</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1,390.5 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1,411.1 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and stockholders’ equity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3,536.0 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3,519.8 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3,438.8 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both"/>
        <w:rPr/>
      </w:pPr>
      <w:r>
        <w:rPr>
          <w:rFonts w:ascii="Arial;sans-serif" w:hAnsi="Arial;sans-serif"/>
          <w:b w:val="false"/>
          <w:color w:val="000000"/>
          <w:sz w:val="11"/>
        </w:rPr>
        <w:t xml:space="preserve">1 </w:t>
      </w:r>
      <w:r>
        <w:rPr>
          <w:rFonts w:ascii="Arial;sans-serif" w:hAnsi="Arial;sans-serif"/>
          <w:b w:val="false"/>
          <w:color w:val="000000"/>
          <w:sz w:val="17"/>
        </w:rPr>
        <w:t>During the company’s second quarter ended May 1, 2026 the company amended its certificate of incorporation to change the par value of its preferred and common stock from $1.00 per share to $0.01 per share. This change has been adopted prospectively and, therefore, the common stock balances as of August 1, 2025 and October 31, 2025 have not been adjusted and reflect the prior par value $1.00 per share as of each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THE TORO COMPANY AND SUBSIDIARIES</w:t>
      </w:r>
    </w:p>
    <w:p>
      <w:pPr>
        <w:pStyle w:val="TextBody"/>
        <w:bidi w:val="0"/>
        <w:spacing w:lineRule="auto" w:line="276"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Condensed Consolidated Statements of Cash Flows (Unaudited)</w:t>
      </w:r>
    </w:p>
    <w:p>
      <w:pPr>
        <w:pStyle w:val="TextBody"/>
        <w:bidi w:val="0"/>
        <w:spacing w:lineRule="auto" w:line="276" w:before="0" w:after="200"/>
        <w:jc w:val="center"/>
        <w:rPr>
          <w:rFonts w:ascii="Arial;sans-serif" w:hAnsi="Arial;sans-serif"/>
          <w:b/>
          <w:color w:val="000000"/>
          <w:sz w:val="22"/>
          <w:shd w:fill="FFFFFF" w:val="clear"/>
        </w:rPr>
      </w:pPr>
      <w:r>
        <w:rPr>
          <w:rFonts w:ascii="Arial;sans-serif" w:hAnsi="Arial;sans-serif"/>
          <w:b/>
          <w:color w:val="000000"/>
          <w:sz w:val="22"/>
          <w:shd w:fill="FFFFFF" w:val="clear"/>
        </w:rPr>
        <w:t>(Dollars in millions)</w:t>
      </w:r>
    </w:p>
    <w:tbl>
      <w:tblPr>
        <w:tblW w:w="10205" w:type="dxa"/>
        <w:jc w:val="left"/>
        <w:tblInd w:w="0" w:type="dxa"/>
        <w:tblLayout w:type="fixed"/>
        <w:tblCellMar>
          <w:top w:w="28" w:type="dxa"/>
          <w:left w:w="28" w:type="dxa"/>
          <w:bottom w:w="28" w:type="dxa"/>
          <w:right w:w="28" w:type="dxa"/>
        </w:tblCellMar>
      </w:tblPr>
      <w:tblGrid>
        <w:gridCol w:w="2542"/>
        <w:gridCol w:w="2206"/>
        <w:gridCol w:w="2212"/>
        <w:gridCol w:w="109"/>
        <w:gridCol w:w="109"/>
        <w:gridCol w:w="109"/>
        <w:gridCol w:w="271"/>
        <w:gridCol w:w="793"/>
        <w:gridCol w:w="140"/>
        <w:gridCol w:w="109"/>
        <w:gridCol w:w="109"/>
        <w:gridCol w:w="109"/>
        <w:gridCol w:w="297"/>
        <w:gridCol w:w="870"/>
        <w:gridCol w:w="220"/>
      </w:tblGrid>
      <w:tr>
        <w:trPr/>
        <w:tc>
          <w:tcPr>
            <w:tcW w:w="254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6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r>
      <w:tr>
        <w:trPr/>
        <w:tc>
          <w:tcPr>
            <w:tcW w:w="6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earnings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Non-cash income from finance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Distributions from finance affiliate,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Deferred income taxes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Non-cash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 net of the effect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Other assets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Other liabilities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Acquisitions, net of cash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(50.7)</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Borrowings under debt arrangements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Repayments under debt arrangements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(730.0)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Payments of withholding taxes for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(358.1)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Dividends paid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as of the beginning of the fiscal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as of the end of the fiscal period</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201.0 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180"/>
        <w:jc w:val="both"/>
        <w:rPr/>
      </w:pPr>
      <w:r>
        <w:rPr>
          <w:rFonts w:ascii="Arial;sans-serif" w:hAnsi="Arial;sans-serif"/>
          <w:b w:val="false"/>
          <w:color w:val="000000"/>
          <w:sz w:val="11"/>
        </w:rPr>
        <w:t>1</w:t>
      </w:r>
      <w:r>
        <w:rPr>
          <w:color w:val="000000"/>
        </w:rPr>
        <w:t xml:space="preserve"> </w:t>
      </w:r>
      <w:r>
        <w:rPr>
          <w:rFonts w:ascii="Times New Roman;serif" w:hAnsi="Times New Roman;serif"/>
          <w:b w:val="false"/>
          <w:color w:val="000000"/>
          <w:sz w:val="20"/>
        </w:rPr>
        <w:t>Presentation</w:t>
      </w:r>
      <w:r>
        <w:rPr>
          <w:color w:val="000000"/>
        </w:rPr>
        <w:t xml:space="preserve"> </w:t>
      </w:r>
      <w:r>
        <w:rPr>
          <w:rFonts w:ascii="Arial;sans-serif" w:hAnsi="Arial;sans-serif"/>
          <w:b w:val="false"/>
          <w:color w:val="000000"/>
          <w:sz w:val="17"/>
        </w:rPr>
        <w:t xml:space="preserve">of prior year deferred income taxes has been conformed to the current year presentation. There was no change to net cash used in operating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THE TORO COMPANY AND SUBSIDIARIES</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Reconciliation of Non-GAAP Financial Measures (Unaudited)</w:t>
      </w:r>
    </w:p>
    <w:p>
      <w:pPr>
        <w:pStyle w:val="TextBody"/>
        <w:bidi w:val="0"/>
        <w:spacing w:lineRule="auto" w:line="276" w:before="0" w:after="200"/>
        <w:jc w:val="center"/>
        <w:rPr>
          <w:rFonts w:ascii="Arial;sans-serif" w:hAnsi="Arial;sans-serif"/>
          <w:b/>
          <w:color w:val="000000"/>
          <w:sz w:val="22"/>
        </w:rPr>
      </w:pPr>
      <w:r>
        <w:rPr>
          <w:rFonts w:ascii="Arial;sans-serif" w:hAnsi="Arial;sans-serif"/>
          <w:b/>
          <w:color w:val="000000"/>
          <w:sz w:val="22"/>
        </w:rPr>
        <w:t>(Dollars in millions, except per-share data)</w:t>
      </w:r>
    </w:p>
    <w:p>
      <w:pPr>
        <w:pStyle w:val="TextBody"/>
        <w:bidi w:val="0"/>
        <w:spacing w:lineRule="auto" w:line="276" w:before="0" w:after="200"/>
        <w:jc w:val="both"/>
        <w:rPr/>
      </w:pPr>
      <w:r>
        <w:rPr>
          <w:rFonts w:ascii="Arial;sans-serif" w:hAnsi="Arial;sans-serif"/>
          <w:b w:val="false"/>
          <w:color w:val="000000"/>
          <w:sz w:val="22"/>
          <w:shd w:fill="FFFFFF" w:val="clear"/>
        </w:rPr>
        <w:t>The following tables provide a reconciliation of the non-GAAP financial performance measures used in this press release and our related earnings call to the most directly comparable measures calculated and reported in accordance with U.S. GAAP for</w:t>
      </w:r>
      <w:r>
        <w:rPr>
          <w:color w:val="000000"/>
        </w:rPr>
        <w:t xml:space="preserve"> </w:t>
      </w:r>
      <w:r>
        <w:rPr>
          <w:rFonts w:ascii="Arial;sans-serif" w:hAnsi="Arial;sans-serif"/>
          <w:b w:val="false"/>
          <w:color w:val="000000"/>
          <w:sz w:val="22"/>
        </w:rPr>
        <w:t>the three and nine month periods ended July 31, 2026 and August 1, 2025:</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both"/>
        <w:rPr>
          <w:rFonts w:ascii="Arial;sans-serif" w:hAnsi="Arial;sans-serif"/>
          <w:b w:val="false"/>
          <w:i/>
          <w:color w:val="000000"/>
          <w:sz w:val="22"/>
        </w:rPr>
      </w:pPr>
      <w:r>
        <w:rPr>
          <w:rFonts w:ascii="Arial;sans-serif" w:hAnsi="Arial;sans-serif"/>
          <w:b w:val="false"/>
          <w:i/>
          <w:color w:val="000000"/>
          <w:sz w:val="22"/>
        </w:rPr>
        <w:t>Adjusted Profit &amp; Loss Statement</w:t>
      </w:r>
    </w:p>
    <w:tbl>
      <w:tblPr>
        <w:tblW w:w="10143" w:type="dxa"/>
        <w:jc w:val="left"/>
        <w:tblInd w:w="0" w:type="dxa"/>
        <w:tblLayout w:type="fixed"/>
        <w:tblCellMar>
          <w:top w:w="28" w:type="dxa"/>
          <w:left w:w="28" w:type="dxa"/>
          <w:bottom w:w="28" w:type="dxa"/>
          <w:right w:w="28" w:type="dxa"/>
        </w:tblCellMar>
      </w:tblPr>
      <w:tblGrid>
        <w:gridCol w:w="1286"/>
        <w:gridCol w:w="1130"/>
        <w:gridCol w:w="1139"/>
        <w:gridCol w:w="109"/>
        <w:gridCol w:w="109"/>
        <w:gridCol w:w="109"/>
        <w:gridCol w:w="236"/>
        <w:gridCol w:w="690"/>
        <w:gridCol w:w="303"/>
        <w:gridCol w:w="109"/>
        <w:gridCol w:w="109"/>
        <w:gridCol w:w="109"/>
        <w:gridCol w:w="265"/>
        <w:gridCol w:w="774"/>
        <w:gridCol w:w="340"/>
        <w:gridCol w:w="109"/>
        <w:gridCol w:w="109"/>
        <w:gridCol w:w="109"/>
        <w:gridCol w:w="211"/>
        <w:gridCol w:w="766"/>
        <w:gridCol w:w="271"/>
        <w:gridCol w:w="109"/>
        <w:gridCol w:w="109"/>
        <w:gridCol w:w="109"/>
        <w:gridCol w:w="232"/>
        <w:gridCol w:w="844"/>
        <w:gridCol w:w="348"/>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(Dollars 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1,154.1 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gross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429.6 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389.0 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1,168.8 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34.1 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gross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operating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428.4 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earnings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operating earnings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provision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Tax impact of share-based compensation</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income tax provision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53.5 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243.1 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 net of tax</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 net of tax</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 net of tax</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Tax impact of share-based compensation</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earnings per diluted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0.54 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costs, net of tax</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 net of tax</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 net of tax</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Tax impact of share-based compensation</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net earnings per diluted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Effective tax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Productivity initiative</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Non-cash impairment charge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Tax impact of share-based compensation</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effective tax rate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17.3 </w:t>
            </w:r>
          </w:p>
        </w:tc>
        <w:tc>
          <w:tcPr>
            <w:tcW w:w="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18.5 </w:t>
            </w:r>
          </w:p>
        </w:tc>
        <w:tc>
          <w:tcPr>
            <w:tcW w:w="3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120" w:after="120"/>
        <w:ind w:left="0" w:right="0" w:hanging="180"/>
        <w:jc w:val="both"/>
        <w:rPr/>
      </w:pPr>
      <w:r>
        <w:rPr>
          <w:rFonts w:ascii="Arial;sans-serif" w:hAnsi="Arial;sans-serif"/>
          <w:b w:val="false"/>
          <w:color w:val="000000"/>
          <w:sz w:val="11"/>
        </w:rPr>
        <w:t>1    </w:t>
      </w:r>
      <w:r>
        <w:rPr>
          <w:rFonts w:ascii="Arial;sans-serif" w:hAnsi="Arial;sans-serif"/>
          <w:b w:val="false"/>
          <w:color w:val="000000"/>
          <w:sz w:val="17"/>
        </w:rPr>
        <w:t xml:space="preserve">On December 8, 2025, we completed the acquisition of Tornado Infrastructure Equipment. For additional information regarding this acquisition, refer to Note 2, </w:t>
      </w:r>
      <w:r>
        <w:rPr>
          <w:rFonts w:ascii="Arial;sans-serif" w:hAnsi="Arial;sans-serif"/>
          <w:b w:val="false"/>
          <w:i/>
          <w:color w:val="000000"/>
          <w:sz w:val="17"/>
        </w:rPr>
        <w:t>Acquisition</w:t>
      </w:r>
      <w:r>
        <w:rPr>
          <w:rFonts w:ascii="Arial;sans-serif" w:hAnsi="Arial;sans-serif"/>
          <w:b w:val="false"/>
          <w:color w:val="000000"/>
          <w:sz w:val="17"/>
        </w:rPr>
        <w:t>, within the Notes to Condensed Consolidated Financial Statements included within Part I, Item 1, "Financial Statements" of the related Quarterly Report on Form 10-Q. Acquisition-related costs for the three and nine month periods ended July 31, 2026 represent integration costs and amortization of the backlog intangible asset and inventory step-up resulting from purchase accounting adjustments.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120"/>
        <w:ind w:left="0" w:right="0" w:hanging="180"/>
        <w:jc w:val="both"/>
        <w:rPr/>
      </w:pPr>
      <w:r>
        <w:rPr>
          <w:rFonts w:ascii="Arial;sans-serif" w:hAnsi="Arial;sans-serif"/>
          <w:b w:val="false"/>
          <w:color w:val="000000"/>
          <w:sz w:val="11"/>
        </w:rPr>
        <w:t>2    </w:t>
      </w:r>
      <w:r>
        <w:rPr>
          <w:rFonts w:ascii="Arial;sans-serif" w:hAnsi="Arial;sans-serif"/>
          <w:b w:val="false"/>
          <w:color w:val="000000"/>
          <w:sz w:val="17"/>
        </w:rPr>
        <w:t>In the first quarter of fiscal 2024, we launched a significant productivity initiative named AMP, as discussed in more detail under the heading "Company Overview-AMP Initiative" of the related Quarterly Report on Form 10-Q.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nine month periods ended July 31, 2026 and August 1, 2025 primarily represent facility exit-related costs and gains, product-line exit costs, severance and termination benefits, compensation for fully-dedicated AMP personnel, and third-party consulting costs.</w:t>
      </w:r>
    </w:p>
    <w:p>
      <w:pPr>
        <w:pStyle w:val="TextBody"/>
        <w:bidi w:val="0"/>
        <w:spacing w:lineRule="auto" w:line="276" w:before="120" w:after="120"/>
        <w:ind w:left="0" w:right="0" w:hanging="180"/>
        <w:jc w:val="both"/>
        <w:rPr/>
      </w:pPr>
      <w:r>
        <w:rPr>
          <w:rFonts w:ascii="Arial;sans-serif" w:hAnsi="Arial;sans-serif"/>
          <w:b w:val="false"/>
          <w:color w:val="000000"/>
          <w:sz w:val="11"/>
        </w:rPr>
        <w:t>3    </w:t>
      </w:r>
      <w:r>
        <w:rPr>
          <w:rFonts w:ascii="Arial;sans-serif" w:hAnsi="Arial;sans-serif"/>
          <w:b w:val="false"/>
          <w:color w:val="000000"/>
          <w:sz w:val="17"/>
        </w:rPr>
        <w:t>At the end of the third quarter of fiscal 2026, we recorded non-cash impairment charges within Other activities related to manufacturing facility and product line exits as discussed in more detail under the heading "Company Overview-Manufacturing Facility and Product Line Exits" in the related Quarterly Report on Form 10-Q. At the end of the third quarter of fiscal 2025, we recorded a non-cash impairment charge within Other activities related to the Spartan trade name.</w:t>
      </w:r>
    </w:p>
    <w:p>
      <w:pPr>
        <w:pStyle w:val="TextBody"/>
        <w:bidi w:val="0"/>
        <w:spacing w:lineRule="auto" w:line="276" w:before="120" w:after="120"/>
        <w:ind w:left="0" w:right="0" w:hanging="180"/>
        <w:jc w:val="both"/>
        <w:rPr/>
      </w:pPr>
      <w:r>
        <w:rPr>
          <w:rFonts w:ascii="Arial;sans-serif" w:hAnsi="Arial;sans-serif"/>
          <w:b w:val="false"/>
          <w:color w:val="000000"/>
          <w:sz w:val="11"/>
        </w:rPr>
        <w:t>4    </w:t>
      </w:r>
      <w:r>
        <w:rPr>
          <w:rFonts w:ascii="Arial;sans-serif" w:hAnsi="Arial;sans-serif"/>
          <w:b w:val="false"/>
          <w:color w:val="000000"/>
          <w:sz w:val="17"/>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July 31, 2026 and August 1, 2025.</w:t>
      </w:r>
    </w:p>
    <w:p>
      <w:pPr>
        <w:pStyle w:val="TextBody"/>
        <w:bidi w:val="0"/>
        <w:spacing w:before="120" w:after="120"/>
        <w:ind w:left="0" w:right="0" w:hanging="180"/>
        <w:jc w:val="both"/>
        <w:rPr/>
      </w:pPr>
      <w:r>
        <w:rPr/>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Organic Sales Growth</w:t>
      </w:r>
    </w:p>
    <w:tbl>
      <w:tblPr>
        <w:tblW w:w="10205" w:type="dxa"/>
        <w:jc w:val="left"/>
        <w:tblInd w:w="0" w:type="dxa"/>
        <w:tblLayout w:type="fixed"/>
        <w:tblCellMar>
          <w:top w:w="28" w:type="dxa"/>
          <w:left w:w="28" w:type="dxa"/>
          <w:bottom w:w="28" w:type="dxa"/>
          <w:right w:w="28" w:type="dxa"/>
        </w:tblCellMar>
      </w:tblPr>
      <w:tblGrid>
        <w:gridCol w:w="779"/>
        <w:gridCol w:w="685"/>
        <w:gridCol w:w="687"/>
        <w:gridCol w:w="109"/>
        <w:gridCol w:w="109"/>
        <w:gridCol w:w="109"/>
        <w:gridCol w:w="439"/>
        <w:gridCol w:w="352"/>
        <w:gridCol w:w="884"/>
        <w:gridCol w:w="109"/>
        <w:gridCol w:w="109"/>
        <w:gridCol w:w="109"/>
        <w:gridCol w:w="373"/>
        <w:gridCol w:w="373"/>
        <w:gridCol w:w="933"/>
        <w:gridCol w:w="109"/>
        <w:gridCol w:w="109"/>
        <w:gridCol w:w="109"/>
        <w:gridCol w:w="309"/>
        <w:gridCol w:w="309"/>
        <w:gridCol w:w="770"/>
        <w:gridCol w:w="109"/>
        <w:gridCol w:w="109"/>
        <w:gridCol w:w="109"/>
        <w:gridCol w:w="509"/>
        <w:gridCol w:w="378"/>
        <w:gridCol w:w="1117"/>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July 31, 2026</w:t>
            </w:r>
          </w:p>
        </w:tc>
      </w:tr>
      <w:tr>
        <w:trPr/>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(Percentage change versus the prior year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Reported (GAAP) Net Sales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Acquisitions &amp;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Foreign Exchange Impact</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Organic Sales Growth/ (Decrease) (Non-GAAP)</w:t>
            </w:r>
          </w:p>
        </w:tc>
      </w:tr>
      <w:tr>
        <w:trPr/>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6.1 </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8.4 </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6.2 </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200"/>
        <w:jc w:val="both"/>
        <w:rPr/>
      </w:pPr>
      <w:r>
        <w:rPr>
          <w:rFonts w:ascii="Arial;sans-serif" w:hAnsi="Arial;sans-serif"/>
          <w:b w:val="false"/>
          <w:color w:val="000000"/>
          <w:sz w:val="11"/>
        </w:rPr>
        <w:t xml:space="preserve">1 </w:t>
      </w:r>
      <w:r>
        <w:rPr>
          <w:rFonts w:ascii="Arial;sans-serif" w:hAnsi="Arial;sans-serif"/>
          <w:b w:val="false"/>
          <w:color w:val="000000"/>
          <w:sz w:val="17"/>
        </w:rPr>
        <w:t>The foreign exchange impact to sales growth measures the change in sales between current and prior year periods using constant exchange rates.</w:t>
      </w:r>
    </w:p>
    <w:tbl>
      <w:tblPr>
        <w:tblW w:w="10205" w:type="dxa"/>
        <w:jc w:val="left"/>
        <w:tblInd w:w="0" w:type="dxa"/>
        <w:tblLayout w:type="fixed"/>
        <w:tblCellMar>
          <w:top w:w="28" w:type="dxa"/>
          <w:left w:w="28" w:type="dxa"/>
          <w:bottom w:w="28" w:type="dxa"/>
          <w:right w:w="28" w:type="dxa"/>
        </w:tblCellMar>
      </w:tblPr>
      <w:tblGrid>
        <w:gridCol w:w="795"/>
        <w:gridCol w:w="699"/>
        <w:gridCol w:w="701"/>
        <w:gridCol w:w="109"/>
        <w:gridCol w:w="109"/>
        <w:gridCol w:w="109"/>
        <w:gridCol w:w="373"/>
        <w:gridCol w:w="359"/>
        <w:gridCol w:w="901"/>
        <w:gridCol w:w="109"/>
        <w:gridCol w:w="109"/>
        <w:gridCol w:w="109"/>
        <w:gridCol w:w="376"/>
        <w:gridCol w:w="376"/>
        <w:gridCol w:w="941"/>
        <w:gridCol w:w="109"/>
        <w:gridCol w:w="109"/>
        <w:gridCol w:w="109"/>
        <w:gridCol w:w="313"/>
        <w:gridCol w:w="313"/>
        <w:gridCol w:w="781"/>
        <w:gridCol w:w="109"/>
        <w:gridCol w:w="109"/>
        <w:gridCol w:w="109"/>
        <w:gridCol w:w="444"/>
        <w:gridCol w:w="387"/>
        <w:gridCol w:w="1138"/>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 July 31, 2026</w:t>
            </w:r>
          </w:p>
        </w:tc>
      </w:tr>
      <w:tr>
        <w:trPr/>
        <w:tc>
          <w:tcPr>
            <w:tcW w:w="2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(Percentage change versus the prior year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Reported (GAAP) Net Sales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Acquisitions &amp;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Foreign Exchange Impact</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Organic Sales Growth/ (Decrease) (Non-GAAP)</w:t>
            </w:r>
          </w:p>
        </w:tc>
      </w:tr>
      <w:tr>
        <w:trPr/>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7.0 </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200"/>
        <w:jc w:val="both"/>
        <w:rPr/>
      </w:pPr>
      <w:r>
        <w:rPr>
          <w:rFonts w:ascii="Arial;sans-serif" w:hAnsi="Arial;sans-serif"/>
          <w:b w:val="false"/>
          <w:color w:val="000000"/>
          <w:sz w:val="11"/>
        </w:rPr>
        <w:t xml:space="preserve">1 </w:t>
      </w:r>
      <w:r>
        <w:rPr>
          <w:rFonts w:ascii="Arial;sans-serif" w:hAnsi="Arial;sans-serif"/>
          <w:b w:val="false"/>
          <w:color w:val="000000"/>
          <w:sz w:val="17"/>
        </w:rPr>
        <w:t>The foreign exchange impact to sales growth measures the change in sales between current and prior year periods using constant exchange rates.</w:t>
      </w:r>
    </w:p>
    <w:tbl>
      <w:tblPr>
        <w:tblW w:w="10205" w:type="dxa"/>
        <w:jc w:val="left"/>
        <w:tblInd w:w="0" w:type="dxa"/>
        <w:tblLayout w:type="fixed"/>
        <w:tblCellMar>
          <w:top w:w="28" w:type="dxa"/>
          <w:left w:w="28" w:type="dxa"/>
          <w:bottom w:w="28" w:type="dxa"/>
          <w:right w:w="28" w:type="dxa"/>
        </w:tblCellMar>
      </w:tblPr>
      <w:tblGrid>
        <w:gridCol w:w="762"/>
        <w:gridCol w:w="670"/>
        <w:gridCol w:w="672"/>
        <w:gridCol w:w="109"/>
        <w:gridCol w:w="109"/>
        <w:gridCol w:w="109"/>
        <w:gridCol w:w="508"/>
        <w:gridCol w:w="345"/>
        <w:gridCol w:w="865"/>
        <w:gridCol w:w="111"/>
        <w:gridCol w:w="111"/>
        <w:gridCol w:w="111"/>
        <w:gridCol w:w="369"/>
        <w:gridCol w:w="369"/>
        <w:gridCol w:w="924"/>
        <w:gridCol w:w="111"/>
        <w:gridCol w:w="111"/>
        <w:gridCol w:w="111"/>
        <w:gridCol w:w="304"/>
        <w:gridCol w:w="304"/>
        <w:gridCol w:w="759"/>
        <w:gridCol w:w="111"/>
        <w:gridCol w:w="111"/>
        <w:gridCol w:w="111"/>
        <w:gridCol w:w="575"/>
        <w:gridCol w:w="368"/>
        <w:gridCol w:w="1085"/>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August 1, 2025</w:t>
            </w:r>
          </w:p>
        </w:tc>
      </w:tr>
      <w:tr>
        <w:trPr/>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(Percentage change versus the prior year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Reported (GAAP) Net Sales Growth</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Acquisitions &amp; Divestitures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Foreign Exchange Impact</w:t>
            </w:r>
            <w:r>
              <w:rPr>
                <w:rFonts w:ascii="Arial;sans-serif" w:hAnsi="Arial;sans-serif"/>
                <w:b/>
                <w:color w:val="000000"/>
                <w:sz w:val="12"/>
              </w:rPr>
              <w:t>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Organic Sales Growth/ (Decrease) (Non-GAAP)</w:t>
            </w:r>
          </w:p>
        </w:tc>
      </w:tr>
      <w:tr>
        <w:trPr/>
        <w:tc>
          <w:tcPr>
            <w:tcW w:w="2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(187.5)</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(187.5)</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200"/>
        <w:jc w:val="both"/>
        <w:rPr/>
      </w:pPr>
      <w:r>
        <w:rPr>
          <w:rFonts w:ascii="Arial;sans-serif" w:hAnsi="Arial;sans-serif"/>
          <w:b w:val="false"/>
          <w:color w:val="000000"/>
          <w:sz w:val="11"/>
        </w:rPr>
        <w:t xml:space="preserve">1 </w:t>
      </w:r>
      <w:r>
        <w:rPr>
          <w:rFonts w:ascii="Arial;sans-serif" w:hAnsi="Arial;sans-serif"/>
          <w:b w:val="false"/>
          <w:color w:val="000000"/>
          <w:sz w:val="17"/>
        </w:rPr>
        <w:t>The foreign exchange impact to sales growth measures the change in sales between current and prior year periods using constant exchange rates.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3"/>
        <w:gridCol w:w="671"/>
        <w:gridCol w:w="673"/>
        <w:gridCol w:w="109"/>
        <w:gridCol w:w="109"/>
        <w:gridCol w:w="109"/>
        <w:gridCol w:w="508"/>
        <w:gridCol w:w="345"/>
        <w:gridCol w:w="866"/>
        <w:gridCol w:w="110"/>
        <w:gridCol w:w="110"/>
        <w:gridCol w:w="110"/>
        <w:gridCol w:w="369"/>
        <w:gridCol w:w="369"/>
        <w:gridCol w:w="924"/>
        <w:gridCol w:w="110"/>
        <w:gridCol w:w="110"/>
        <w:gridCol w:w="110"/>
        <w:gridCol w:w="304"/>
        <w:gridCol w:w="304"/>
        <w:gridCol w:w="759"/>
        <w:gridCol w:w="110"/>
        <w:gridCol w:w="110"/>
        <w:gridCol w:w="110"/>
        <w:gridCol w:w="576"/>
        <w:gridCol w:w="368"/>
        <w:gridCol w:w="1089"/>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 August 1, 2025</w:t>
            </w:r>
          </w:p>
        </w:tc>
      </w:tr>
      <w:tr>
        <w:trPr/>
        <w:tc>
          <w:tcPr>
            <w:tcW w:w="2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(Percentage change versus the prior year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Reported (GAAP) Net Sales Growth</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Acquisitions &amp; Divestitures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9"/>
              </w:rPr>
              <w:t>Foreign Exchange Impact</w:t>
            </w:r>
            <w:r>
              <w:rPr>
                <w:rFonts w:ascii="Arial;sans-serif" w:hAnsi="Arial;sans-serif"/>
                <w:b/>
                <w:color w:val="000000"/>
                <w:sz w:val="12"/>
              </w:rPr>
              <w:t>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Organic Sales Growth/ (Decrease) (Non-GAAP)</w:t>
            </w:r>
          </w:p>
        </w:tc>
      </w:tr>
      <w:tr>
        <w:trPr/>
        <w:tc>
          <w:tcPr>
            <w:tcW w:w="2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0.2 </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(209.7)</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(209.7)</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1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0.2 </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(0.3)</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200"/>
        <w:jc w:val="both"/>
        <w:rPr/>
      </w:pPr>
      <w:r>
        <w:rPr>
          <w:rFonts w:ascii="Arial;sans-serif" w:hAnsi="Arial;sans-serif"/>
          <w:b w:val="false"/>
          <w:color w:val="000000"/>
          <w:sz w:val="11"/>
        </w:rPr>
        <w:t xml:space="preserve">1 </w:t>
      </w:r>
      <w:r>
        <w:rPr>
          <w:rFonts w:ascii="Arial;sans-serif" w:hAnsi="Arial;sans-serif"/>
          <w:b w:val="false"/>
          <w:color w:val="000000"/>
          <w:sz w:val="17"/>
        </w:rPr>
        <w:t>The foreign exchange impact to sales growth measures the change in sales between current and prior year periods using constant exchange rates.</w:t>
      </w:r>
    </w:p>
    <w:p>
      <w:pPr>
        <w:pStyle w:val="TextBody"/>
        <w:bidi w:val="0"/>
        <w:spacing w:lineRule="auto" w:line="276" w:before="0" w:after="200"/>
        <w:jc w:val="both"/>
        <w:rPr>
          <w:rFonts w:ascii="Arial;sans-serif" w:hAnsi="Arial;sans-serif"/>
          <w:b/>
          <w:color w:val="000000"/>
          <w:sz w:val="22"/>
        </w:rPr>
      </w:pPr>
      <w:r>
        <w:rPr>
          <w:rFonts w:ascii="Arial;sans-serif" w:hAnsi="Arial;sans-serif"/>
          <w:b/>
          <w:color w:val="000000"/>
          <w:sz w:val="22"/>
        </w:rPr>
        <w:t>Reconciliation of Non-GAAP Liquidity Measures</w:t>
      </w:r>
    </w:p>
    <w:p>
      <w:pPr>
        <w:pStyle w:val="TextBody"/>
        <w:bidi w:val="0"/>
        <w:spacing w:lineRule="auto" w:line="276" w:before="0" w:after="200"/>
        <w:jc w:val="both"/>
        <w:rPr/>
      </w:pPr>
      <w:r>
        <w:rPr>
          <w:rFonts w:ascii="Arial;sans-serif" w:hAnsi="Arial;sans-serif"/>
          <w:b w:val="false"/>
          <w:color w:val="000000"/>
          <w:sz w:val="22"/>
        </w:rPr>
        <w:t xml:space="preserve">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w:t>
      </w:r>
      <w:r>
        <w:rPr>
          <w:rFonts w:ascii="Arial;sans-serif" w:hAnsi="Arial;sans-serif"/>
          <w:b w:val="false"/>
          <w:color w:val="000000"/>
          <w:sz w:val="22"/>
          <w:shd w:fill="FFFFFF" w:val="clear"/>
        </w:rPr>
        <w:t>The following table provides a reconciliation of non-GAAP free cash flow and free cash flow conversion percentage to net cash provided by operating activities, which is the most directly comparable financial measure calculated and reported in accordance with U.S. GAAP,</w:t>
      </w:r>
      <w:r>
        <w:rPr>
          <w:color w:val="000000"/>
        </w:rPr>
        <w:t xml:space="preserve"> </w:t>
      </w:r>
      <w:r>
        <w:rPr>
          <w:rFonts w:ascii="Arial;sans-serif" w:hAnsi="Arial;sans-serif"/>
          <w:b w:val="false"/>
          <w:color w:val="000000"/>
          <w:sz w:val="22"/>
        </w:rPr>
        <w:t>for the nine month periods ended July 31, 2026 and August 1, 2025:</w:t>
      </w:r>
    </w:p>
    <w:tbl>
      <w:tblPr>
        <w:tblW w:w="10205" w:type="dxa"/>
        <w:jc w:val="left"/>
        <w:tblInd w:w="0" w:type="dxa"/>
        <w:tblLayout w:type="fixed"/>
        <w:tblCellMar>
          <w:top w:w="28" w:type="dxa"/>
          <w:left w:w="28" w:type="dxa"/>
          <w:bottom w:w="28" w:type="dxa"/>
          <w:right w:w="28" w:type="dxa"/>
        </w:tblCellMar>
      </w:tblPr>
      <w:tblGrid>
        <w:gridCol w:w="2572"/>
        <w:gridCol w:w="2199"/>
        <w:gridCol w:w="2215"/>
        <w:gridCol w:w="109"/>
        <w:gridCol w:w="109"/>
        <w:gridCol w:w="109"/>
        <w:gridCol w:w="230"/>
        <w:gridCol w:w="673"/>
        <w:gridCol w:w="295"/>
        <w:gridCol w:w="109"/>
        <w:gridCol w:w="109"/>
        <w:gridCol w:w="109"/>
        <w:gridCol w:w="251"/>
        <w:gridCol w:w="734"/>
        <w:gridCol w:w="382"/>
      </w:tblGrid>
      <w:tr>
        <w:trPr/>
        <w:tc>
          <w:tcPr>
            <w:tcW w:w="257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6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August 1, 2025</w:t>
            </w:r>
          </w:p>
        </w:tc>
      </w:tr>
      <w:tr>
        <w:trPr/>
        <w:tc>
          <w:tcPr>
            <w:tcW w:w="6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provided by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348.9 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Free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425.1 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291.9 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earnings, excluding the non-cash impairment charges of $43.1 million and $81.1 million,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324.2 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Free cash flow conversion percentage</w:t>
            </w:r>
            <w:r>
              <w:rPr>
                <w:rFonts w:ascii="Arial;sans-serif" w:hAnsi="Arial;sans-serif"/>
                <w:b w:val="false"/>
                <w:color w:val="000000"/>
                <w:sz w:val="12"/>
              </w:rPr>
              <w:t>1</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127.5 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0" w:after="200"/>
        <w:jc w:val="both"/>
        <w:rPr/>
      </w:pP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Presentation of prior year net earnings and free cash flow conversion percentage have been conformed to the current year presentation by excluding non-cash impairment charges.</w:t>
      </w:r>
    </w:p>
    <w:p>
      <w:pPr>
        <w:pStyle w:val="TextBody"/>
        <w:bidi w:val="0"/>
        <w:spacing w:lineRule="auto" w:line="276" w:before="0" w:after="200"/>
        <w:ind w:left="0" w:right="0" w:hanging="180"/>
        <w:jc w:val="center"/>
        <w:rPr>
          <w:rFonts w:ascii="Arial;sans-serif" w:hAnsi="Arial;sans-serif"/>
          <w:b/>
          <w:color w:val="000000"/>
          <w:sz w:val="16"/>
        </w:rPr>
      </w:pPr>
      <w:r>
        <w:rPr>
          <w:rFonts w:ascii="Arial;sans-serif" w:hAnsi="Arial;sans-serif"/>
          <w:b/>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5105</Words>
  <Characters>28614</Characters>
  <CharactersWithSpaces>33101</CharactersWithSpaces>
  <Paragraphs>1140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