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January 31, 2025</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7"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February 27, 2025 was 99,820,061.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ind w:left="2740"/>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CAUTIONARY NOTE REGARDING FORWARD-LOOKING STATEMENTS</w:t>
            </w:r>
          </w:p>
        </w:tc>
        <w:tc>
          <w:tcPr>
            <w:tcW w:w="1700" w:type="dxa"/>
            <w:vAlign w:val="bottom"/>
            <w:gridSpan w:val="6"/>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0" w:type="dxa"/>
            <w:vAlign w:val="bottom"/>
            <w:gridSpan w:val="3"/>
          </w:tcPr>
          <w:p>
            <w:pPr>
              <w:spacing w:after="0"/>
              <w:rPr>
                <w:sz w:val="24"/>
                <w:szCs w:val="24"/>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3640" w:type="dxa"/>
            <w:vAlign w:val="bottom"/>
            <w:gridSpan w:val="12"/>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500" w:type="dxa"/>
            <w:vAlign w:val="bottom"/>
            <w:gridSpan w:val="19"/>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Earnings (Unaudited)</w:t>
            </w:r>
          </w:p>
        </w:tc>
        <w:tc>
          <w:tcPr>
            <w:tcW w:w="1540" w:type="dxa"/>
            <w:vAlign w:val="bottom"/>
            <w:gridSpan w:val="5"/>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Balance Sheets (Unaudited)</w:t>
            </w:r>
          </w:p>
        </w:tc>
        <w:tc>
          <w:tcPr>
            <w:tcW w:w="1380" w:type="dxa"/>
            <w:vAlign w:val="bottom"/>
            <w:tcBorders>
              <w:top w:val="single" w:sz="8" w:color="0000FF"/>
            </w:tcBorders>
            <w:gridSpan w:val="7"/>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(Unaudited)</w:t>
            </w:r>
          </w:p>
        </w:tc>
        <w:tc>
          <w:tcPr>
            <w:tcW w:w="1360" w:type="dxa"/>
            <w:vAlign w:val="bottom"/>
            <w:gridSpan w:val="4"/>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 (Unaudited)</w:t>
            </w:r>
          </w:p>
        </w:tc>
        <w:tc>
          <w:tcPr>
            <w:tcW w:w="760" w:type="dxa"/>
            <w:vAlign w:val="bottom"/>
            <w:gridSpan w:val="2"/>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880" w:type="dxa"/>
            <w:vAlign w:val="bottom"/>
            <w:gridSpan w:val="4"/>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58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4240" w:type="dxa"/>
            <w:vAlign w:val="bottom"/>
            <w:gridSpan w:val="15"/>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4140" w:type="dxa"/>
            <w:vAlign w:val="bottom"/>
            <w:gridSpan w:val="14"/>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4300" w:type="dxa"/>
            <w:vAlign w:val="bottom"/>
            <w:gridSpan w:val="1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Financial Position</w:t>
            </w:r>
          </w:p>
        </w:tc>
        <w:tc>
          <w:tcPr>
            <w:tcW w:w="4380" w:type="dxa"/>
            <w:vAlign w:val="bottom"/>
            <w:gridSpan w:val="1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Non-GAAP Financial Measures</w:t>
            </w:r>
          </w:p>
        </w:tc>
        <w:tc>
          <w:tcPr>
            <w:tcW w:w="3460" w:type="dxa"/>
            <w:vAlign w:val="bottom"/>
            <w:gridSpan w:val="1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2760" w:type="dxa"/>
            <w:vAlign w:val="bottom"/>
            <w:gridSpan w:val="1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3.</w:t>
            </w:r>
          </w:p>
        </w:tc>
        <w:tc>
          <w:tcPr>
            <w:tcW w:w="880" w:type="dxa"/>
            <w:vAlign w:val="bottom"/>
            <w:gridSpan w:val="4"/>
          </w:tcPr>
          <w:p>
            <w:pPr>
              <w:spacing w:after="0"/>
              <w:rPr>
                <w:sz w:val="24"/>
                <w:szCs w:val="24"/>
                <w:color w:val="auto"/>
              </w:rPr>
            </w:pP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gridSpan w:val="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4.</w:t>
            </w:r>
          </w:p>
        </w:tc>
        <w:tc>
          <w:tcPr>
            <w:tcW w:w="880" w:type="dxa"/>
            <w:vAlign w:val="bottom"/>
            <w:gridSpan w:val="4"/>
          </w:tcPr>
          <w:p>
            <w:pPr>
              <w:spacing w:after="0"/>
              <w:rPr>
                <w:sz w:val="24"/>
                <w:szCs w:val="24"/>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4260" w:type="dxa"/>
            <w:vAlign w:val="bottom"/>
            <w:gridSpan w:val="16"/>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74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3980" w:type="dxa"/>
            <w:vAlign w:val="bottom"/>
            <w:gridSpan w:val="13"/>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60" w:type="dxa"/>
            <w:vAlign w:val="bottom"/>
            <w:gridSpan w:val="2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10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3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20" w:type="dxa"/>
            <w:vAlign w:val="bottom"/>
            <w:gridSpan w:val="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5.</w:t>
            </w:r>
          </w:p>
        </w:tc>
        <w:tc>
          <w:tcPr>
            <w:tcW w:w="880" w:type="dxa"/>
            <w:vAlign w:val="bottom"/>
            <w:gridSpan w:val="4"/>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680" w:type="dxa"/>
            <w:vAlign w:val="bottom"/>
            <w:gridSpan w:val="2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0000FF"/>
                <w:w w:val="99"/>
              </w:rPr>
              <w:t>Item 6.</w:t>
            </w:r>
          </w:p>
        </w:tc>
        <w:tc>
          <w:tcPr>
            <w:tcW w:w="880" w:type="dxa"/>
            <w:vAlign w:val="bottom"/>
            <w:gridSpan w:val="4"/>
          </w:tcPr>
          <w:p>
            <w:pPr>
              <w:spacing w:after="0"/>
              <w:rPr>
                <w:sz w:val="24"/>
                <w:szCs w:val="2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180" w:type="dxa"/>
            <w:vAlign w:val="bottom"/>
            <w:gridSpan w:val="23"/>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Our forward-looking statements generally relate to our future performance and may include, among others, statements relating to our anticipated operating results, liquidity requirements, and financial condition and current trends and uncertainties; the anticipated impacts of elevated field inventory levels and backlog, current global supply chain disruptions, the inflationary environment, the imposition, or threat of imposition, of tariffs, current wars and international sanctions and geopolitical tensions, tight labor markets and other macroeconomic factors; our business strategies, priorities, goals, and commitments; acquisitions and any impairment, restructuring, or other charges in connection therewith or resulting therefrom;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adversely affect our operating results and financial condition;</w:t>
      </w:r>
    </w:p>
    <w:p>
      <w:pPr>
        <w:spacing w:after="0" w:line="6"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legal and regulatory uncertainty or conflicts, including actions taken or which may be taken, such as reductions in governmental spending; monetary policy; political, geopolitical, trade, or other issues in the United States or internationally, including increased tariffs or trade wars;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of our businesses and its impact on demand for our products and our working capital;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distribution channel customers to maintain appropriate inventory levels, including as a result of global supply chain disruptions or changes in purchasing patterns by customers,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strong customer relations, and new joint ventures, investments, or partnerships and our failure to successfully complete divestitures or other restructuring activities, including without limitation our ability to integrate acquired businesses and to address material issues both identified and not uncovered during our due diligence review,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3"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leverage new, expanded or emerging markets, such as the broadband and digital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 or geographic mix;</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and other current and potential conflicts;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including our Amplifying Maximum Productivity (“AMP”) initiative, in the time periods that we anticipate or at all;</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 and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environmental, health and safety laws and regulations as well as the impact of increased scrutiny on our sustainability practices, our ability to meet our sustainability company goals, and public perceptions that our products are not environmentally friendly or that our practices are not sustainable.</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Securities and Exchange Commission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millions, except per share data)</w:t>
      </w:r>
    </w:p>
    <w:p>
      <w:pPr>
        <w:spacing w:after="0" w:line="11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659.4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w:t>
            </w:r>
          </w:p>
        </w:tc>
      </w:tr>
      <w:tr>
        <w:trPr>
          <w:trHeight w:val="21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5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335.6</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257.8</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r>
      <w:tr>
        <w:trPr>
          <w:trHeight w:val="21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15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77.8</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2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5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5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66.1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2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5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3"/>
        </w:trPr>
        <w:tc>
          <w:tcPr>
            <w:tcW w:w="6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52.8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2"/>
        </w:trPr>
        <w:tc>
          <w:tcPr>
            <w:tcW w:w="6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8"/>
        </w:trPr>
        <w:tc>
          <w:tcPr>
            <w:tcW w:w="6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earnings per share of common stock</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73"/>
        </w:trPr>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73"/>
        </w:trPr>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90"/>
        </w:trPr>
        <w:tc>
          <w:tcPr>
            <w:tcW w:w="64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5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101.7</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4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9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7"/>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instruments, net of tax of $2.5; $(1.9), respectively</w:t>
            </w:r>
          </w:p>
        </w:tc>
        <w:tc>
          <w:tcPr>
            <w:tcW w:w="19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9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7"/>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51.6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171.3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494.3</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489.1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1,143.1</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1,177.1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87.5</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1,896.2</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1,966.5</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1,764.9</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637.8</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639.2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449.8</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451.2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490.6</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531.5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113.0</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121.8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48.0</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48.4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46.2</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3,696.7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3,801.1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447.1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421.8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511.3</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474.5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19.7</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993.1</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921.9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1,091.9</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1,179.8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98.3</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108.4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45.3</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20" w:type="dxa"/>
            <w:vAlign w:val="bottom"/>
          </w:tcPr>
          <w:p>
            <w:pPr>
              <w:spacing w:after="0"/>
              <w:rPr>
                <w:sz w:val="13"/>
                <w:szCs w:val="13"/>
                <w:color w:val="auto"/>
              </w:rPr>
            </w:pPr>
          </w:p>
        </w:tc>
        <w:tc>
          <w:tcPr>
            <w:tcW w:w="15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5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100,299,716 shares as of January 31, 2025, 104,013,541 shares as of</w:t>
            </w:r>
          </w:p>
        </w:tc>
        <w:tc>
          <w:tcPr>
            <w:tcW w:w="22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100.3</w:t>
            </w:r>
          </w:p>
        </w:tc>
        <w:tc>
          <w:tcPr>
            <w:tcW w:w="22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February 2, 2024, and 101,472,125 shares as of October 31, 2024</w:t>
            </w:r>
          </w:p>
        </w:tc>
        <w:tc>
          <w:tcPr>
            <w:tcW w:w="2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1,414.5</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1,478.9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1,467.6</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1,547.9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3,696.7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3,801.1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52.8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used in operating activities:</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finance affiliate, net</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5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20"/>
        </w:trPr>
        <w:tc>
          <w:tcPr>
            <w:tcW w:w="6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5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r>
      <w:tr>
        <w:trPr>
          <w:trHeight w:val="73"/>
        </w:trPr>
        <w:tc>
          <w:tcPr>
            <w:tcW w:w="64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6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5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3"/>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73"/>
        </w:trPr>
        <w:tc>
          <w:tcPr>
            <w:tcW w:w="64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borrowings under the revolving credit facility</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185.0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5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7"/>
        </w:trPr>
        <w:tc>
          <w:tcPr>
            <w:tcW w:w="6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5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44.6</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r>
      <w:tr>
        <w:trPr>
          <w:trHeight w:val="73"/>
        </w:trPr>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5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73"/>
        </w:trPr>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5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199.5</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38"/>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r>
      <w:tr>
        <w:trPr>
          <w:trHeight w:val="20"/>
        </w:trPr>
        <w:tc>
          <w:tcPr>
            <w:tcW w:w="6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1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5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tcBorders>
              <w:top w:val="single" w:sz="8" w:color="auto"/>
            </w:tcBorders>
            <w:gridSpan w:val="2"/>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101.5</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1,496.4</w:t>
            </w:r>
          </w:p>
        </w:tc>
        <w:tc>
          <w:tcPr>
            <w:tcW w:w="66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$0.38 per share</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66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96,329 shares of common stock under stock-based compensation</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plans, less contribution of 8,673 shares of common stock to a deferred</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trust</w:t>
            </w: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4.4</w:t>
            </w:r>
          </w:p>
        </w:tc>
        <w:tc>
          <w:tcPr>
            <w:tcW w:w="66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1,260,065 shares of common stock</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52.8</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January 31, 2025</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100.3</w:t>
            </w:r>
          </w:p>
        </w:tc>
        <w:tc>
          <w:tcPr>
            <w:tcW w:w="3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1,414.5</w:t>
            </w:r>
          </w:p>
        </w:tc>
        <w:tc>
          <w:tcPr>
            <w:tcW w:w="6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103.8</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1,444.1</w:t>
            </w:r>
          </w:p>
        </w:tc>
        <w:tc>
          <w:tcPr>
            <w:tcW w:w="66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$0.36 per share</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66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248,137 shares of common stock under stock-based</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plans, less contribution of 54,526 shares to a deferred</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trust</w:t>
            </w: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8.4</w:t>
            </w:r>
          </w:p>
        </w:tc>
        <w:tc>
          <w:tcPr>
            <w:tcW w:w="66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23,555 shares of common stock</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64.9</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3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1,478.9</w:t>
            </w:r>
          </w:p>
        </w:tc>
        <w:tc>
          <w:tcPr>
            <w:tcW w:w="6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2025</w:t>
      </w:r>
    </w:p>
    <w:p>
      <w:pPr>
        <w:spacing w:after="0" w:line="332" w:lineRule="exact"/>
        <w:rPr>
          <w:sz w:val="20"/>
          <w:szCs w:val="20"/>
          <w:color w:val="auto"/>
        </w:rPr>
      </w:pPr>
    </w:p>
    <w:p>
      <w:pPr>
        <w:ind w:left="600" w:hanging="579"/>
        <w:spacing w:after="0"/>
        <w:tabs>
          <w:tab w:leader="none" w:pos="600" w:val="left"/>
        </w:tabs>
        <w:numPr>
          <w:ilvl w:val="0"/>
          <w:numId w:val="5"/>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three months ended January 31, 2025 cannot be annualized to determine the expected results for the fiscal year ending October 31, 2025.</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2024.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ASU No. 2024-03, Income Statement—Reporting Comprehensive Income— 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Condensed Consolidated Financial Statements and related disclosures.</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 guidance will become effective for the company's fiscal 2025 annual period, and interim periods beginning with the first quarter of fiscal 2026. The company is currently evaluating the impact of this new standard on its Condensed Consolidated Financial Statements and related disclosures.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Condensed Consolidated Financial Statements. For additional information regarding the company's supplier finance program,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determination is based on the manner in which the company's CODM organizes segments for making operating and investment decisions and assessing performance. The company has identified nine operating segments which are aggregated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4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768.8</w:t>
            </w:r>
          </w:p>
        </w:tc>
        <w:tc>
          <w:tcPr>
            <w:tcW w:w="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1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42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127.2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2,691.5</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435.6</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3,696.7</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2, 2024</w:t>
            </w:r>
          </w:p>
        </w:tc>
        <w:tc>
          <w:tcPr>
            <w:tcW w:w="14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756.5</w:t>
            </w:r>
          </w:p>
        </w:tc>
        <w:tc>
          <w:tcPr>
            <w:tcW w:w="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5.3</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1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42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112.8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2,761.1</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385.3</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3,801.1</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44"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0" w:type="dxa"/>
            <w:vAlign w:val="bottom"/>
            <w:tcBorders>
              <w:top w:val="single" w:sz="8" w:color="auto"/>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152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54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2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from the company's wholly-owned domestic distribution company and other income, net</w:t>
            </w:r>
          </w:p>
        </w:tc>
        <w:tc>
          <w:tcPr>
            <w:tcW w:w="1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w:t>
            </w: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15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5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2"/>
        </w:trPr>
        <w:tc>
          <w:tcPr>
            <w:tcW w:w="7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4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7"/>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220.1</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w:t>
            </w:r>
          </w:p>
        </w:tc>
      </w:tr>
      <w:tr>
        <w:trPr>
          <w:trHeight w:val="22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0.9</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21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221.0</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8"/>
        </w:trPr>
        <w:tc>
          <w:tcPr>
            <w:tcW w:w="40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7"/>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585.0</w:t>
            </w:r>
          </w:p>
        </w:tc>
        <w:tc>
          <w:tcPr>
            <w:tcW w:w="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193.4</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783.6</w:t>
            </w:r>
          </w:p>
        </w:tc>
      </w:tr>
      <w:tr>
        <w:trPr>
          <w:trHeight w:val="22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27.6</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r>
      <w:tr>
        <w:trPr>
          <w:trHeight w:val="21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221.0</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2, 2024</w:t>
            </w:r>
          </w:p>
        </w:tc>
        <w:tc>
          <w:tcPr>
            <w:tcW w:w="14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647.0</w:t>
            </w:r>
          </w:p>
        </w:tc>
        <w:tc>
          <w:tcPr>
            <w:tcW w:w="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4.6</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883.5</w:t>
            </w:r>
          </w:p>
        </w:tc>
      </w:tr>
      <w:tr>
        <w:trPr>
          <w:trHeight w:val="220"/>
        </w:trPr>
        <w:tc>
          <w:tcPr>
            <w:tcW w:w="3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109.5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1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756.5</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
        </w:trPr>
        <w:tc>
          <w:tcPr>
            <w:tcW w:w="39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586.1</w:t>
            </w:r>
          </w:p>
        </w:tc>
        <w:tc>
          <w:tcPr>
            <w:tcW w:w="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w:t>
            </w:r>
          </w:p>
        </w:tc>
      </w:tr>
      <w:tr>
        <w:trPr>
          <w:trHeight w:val="220"/>
        </w:trPr>
        <w:tc>
          <w:tcPr>
            <w:tcW w:w="3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170.4</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r>
      <w:tr>
        <w:trPr>
          <w:trHeight w:val="21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756.5</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January 31, 2025 and October 31, 2024, $27.6 million and $29.6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months ended January 31, 2025, the company recognized $3.2 million, of the October 31, 2024 deferred revenue balance within net sales in the Condensed Consolidated Statements of Earnings. The company expects to recognize approximately $10.9 million of the October 31, 2024 deferred revenue amount within net sales throughout the remainder of fiscal 2025, $8.0 million in fiscal 2026, and $7.5 million thereafter.</w:t>
      </w:r>
    </w:p>
    <w:p>
      <w:pPr>
        <w:spacing w:after="0" w:line="105"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three months of fiscal 2025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1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440.4</w:t>
            </w:r>
          </w:p>
        </w:tc>
        <w:tc>
          <w:tcPr>
            <w:tcW w:w="120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9.9</w:t>
            </w:r>
          </w:p>
        </w:tc>
        <w:tc>
          <w:tcPr>
            <w:tcW w:w="114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r>
      <w:tr>
        <w:trPr>
          <w:trHeight w:val="21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8"/>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2025</w:t>
            </w:r>
          </w:p>
        </w:tc>
        <w:tc>
          <w:tcPr>
            <w:tcW w:w="17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439.9</w:t>
            </w:r>
          </w:p>
        </w:tc>
        <w:tc>
          <w:tcPr>
            <w:tcW w:w="12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9.9</w:t>
            </w:r>
          </w:p>
        </w:tc>
        <w:tc>
          <w:tcPr>
            <w:tcW w:w="114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January 31, 2025, February 2, 2024, and October 31, 2024 were as follows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300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319.8</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451.5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271.5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40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300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327.6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458.6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271.6</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730.2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40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300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319.9</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451.7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271.6</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40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Amortization expense for finite-lived intangibles assets for the three months ended January 31, 2025 and February 2, 2024 was $7.9 million and $8.7 million, respectively. As of January 31, 2025, estimated amortization expense for the remainder of fiscal 2025 and succeeding fiscal years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7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2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7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1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w:t>
            </w: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41"/>
                <w:szCs w:val="41"/>
                <w:b w:val="1"/>
                <w:bCs w:val="1"/>
                <w:color w:val="auto"/>
              </w:rPr>
              <w:t>5</w:t>
            </w:r>
          </w:p>
        </w:tc>
        <w:tc>
          <w:tcPr>
            <w:tcW w:w="47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5140" w:type="dxa"/>
            <w:vAlign w:val="bottom"/>
            <w:tcBorders>
              <w:bottom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12"/>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1,106.9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1,186.6</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1,091.9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January 31, 2025, principal payments required on the company's outstanding indebtedness, based on the maturity dates defined within the company's debt arrangements, for the remainder of fiscal 2025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3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1,110.0</w:t>
            </w: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918.9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0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1,316.5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173.4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38"/>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1,143.1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92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371.1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9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675.2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192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233.0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9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134.0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19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1,588.9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951.1</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3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3,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4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196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19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7"/>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1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8"/>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Investment in Joint Venture</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January 31, 2025, February 2, 2024 and October 31, 2024 was $48.0 million, $48.4 million, and $49.2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4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awards</w:t>
            </w:r>
          </w:p>
        </w:tc>
        <w:tc>
          <w:tcPr>
            <w:tcW w:w="20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20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7"/>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2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three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Borders>
              <w:top w:val="single" w:sz="8" w:color="auto"/>
              <w:bottom w:val="single" w:sz="8" w:color="auto"/>
            </w:tcBorders>
          </w:tcPr>
          <w:p>
            <w:pPr>
              <w:spacing w:after="0"/>
              <w:rPr>
                <w:sz w:val="20"/>
                <w:szCs w:val="20"/>
                <w:color w:val="auto"/>
              </w:rPr>
            </w:pPr>
          </w:p>
        </w:tc>
        <w:tc>
          <w:tcPr>
            <w:tcW w:w="3700" w:type="dxa"/>
            <w:vAlign w:val="bottom"/>
            <w:tcBorders>
              <w:top w:val="single" w:sz="8" w:color="auto"/>
              <w:bottom w:val="single" w:sz="8" w:color="auto"/>
            </w:tcBorders>
          </w:tcPr>
          <w:p>
            <w:pPr>
              <w:ind w:left="254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4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21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70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6.42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6.38</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700" w:type="dxa"/>
            <w:vAlign w:val="bottom"/>
          </w:tcPr>
          <w:p>
            <w:pPr>
              <w:jc w:val="center"/>
              <w:ind w:left="2078"/>
              <w:spacing w:after="0"/>
              <w:rPr>
                <w:sz w:val="20"/>
                <w:szCs w:val="20"/>
                <w:color w:val="auto"/>
              </w:rPr>
            </w:pPr>
            <w:r>
              <w:rPr>
                <w:rFonts w:ascii="Times New Roman" w:cs="Times New Roman" w:eastAsia="Times New Roman" w:hAnsi="Times New Roman"/>
                <w:sz w:val="16"/>
                <w:szCs w:val="16"/>
                <w:color w:val="auto"/>
              </w:rPr>
              <w:t>28.08%</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26.75%</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70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4.48%</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3.94%</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700" w:type="dxa"/>
            <w:vAlign w:val="bottom"/>
          </w:tcPr>
          <w:p>
            <w:pPr>
              <w:jc w:val="center"/>
              <w:ind w:left="2078"/>
              <w:spacing w:after="0"/>
              <w:rPr>
                <w:sz w:val="20"/>
                <w:szCs w:val="20"/>
                <w:color w:val="auto"/>
              </w:rPr>
            </w:pPr>
            <w:r>
              <w:rPr>
                <w:rFonts w:ascii="Times New Roman" w:cs="Times New Roman" w:eastAsia="Times New Roman" w:hAnsi="Times New Roman"/>
                <w:sz w:val="16"/>
                <w:szCs w:val="16"/>
                <w:color w:val="auto"/>
              </w:rPr>
              <w:t>1.43%</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w:t>
            </w:r>
          </w:p>
        </w:tc>
      </w:tr>
      <w:tr>
        <w:trPr>
          <w:trHeight w:val="22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700" w:type="dxa"/>
            <w:vAlign w:val="bottom"/>
            <w:tcBorders>
              <w:bottom w:val="single" w:sz="8" w:color="auto"/>
            </w:tcBorders>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$25.58</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$30.42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2025 and 2024 was $80.21 and $99.60,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three months of fiscal 2025 and 2024 was $81.00 and $98.73,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three months of fiscal 2025 and 2024, 8,808 and 7,544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7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0"/>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7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month periods ended January 31, 2025 and February 2, 2024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8"/>
              <w:spacing w:after="0" w:line="16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9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Pr>
          <w:p>
            <w:pPr>
              <w:spacing w:after="0"/>
              <w:rPr>
                <w:sz w:val="19"/>
                <w:szCs w:val="19"/>
                <w:color w:val="auto"/>
              </w:rPr>
            </w:pPr>
          </w:p>
        </w:tc>
        <w:tc>
          <w:tcPr>
            <w:tcW w:w="1300" w:type="dxa"/>
            <w:vAlign w:val="bottom"/>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8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33.9</w:t>
            </w:r>
          </w:p>
        </w:tc>
        <w:tc>
          <w:tcPr>
            <w:tcW w:w="3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7.8</w:t>
            </w:r>
          </w:p>
        </w:tc>
        <w:tc>
          <w:tcPr>
            <w:tcW w:w="3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840" w:type="dxa"/>
            <w:vAlign w:val="bottom"/>
          </w:tcPr>
          <w:p>
            <w:pPr>
              <w:spacing w:after="0"/>
              <w:rPr>
                <w:sz w:val="18"/>
                <w:szCs w:val="18"/>
                <w:color w:val="auto"/>
              </w:rPr>
            </w:pPr>
          </w:p>
        </w:tc>
        <w:tc>
          <w:tcPr>
            <w:tcW w:w="13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9.9</w:t>
            </w:r>
          </w:p>
        </w:tc>
        <w:tc>
          <w:tcPr>
            <w:tcW w:w="32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9.9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(8.7)</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2025</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43.8</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ind w:right="17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41.7</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3.0</w:t>
            </w: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5.3</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34.4</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15,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of basic and diluted weighted-average number of shares of common stock outstanding was as follows:</w:t>
      </w:r>
    </w:p>
    <w:p>
      <w:pPr>
        <w:spacing w:after="0" w:line="14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Borders>
              <w:top w:val="single" w:sz="8" w:color="auto"/>
              <w:bottom w:val="single" w:sz="8" w:color="auto"/>
            </w:tcBorders>
          </w:tcPr>
          <w:p>
            <w:pPr>
              <w:spacing w:after="0"/>
              <w:rPr>
                <w:sz w:val="19"/>
                <w:szCs w:val="19"/>
                <w:color w:val="auto"/>
              </w:rPr>
            </w:pPr>
          </w:p>
        </w:tc>
        <w:tc>
          <w:tcPr>
            <w:tcW w:w="65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310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6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i w:val="1"/>
                <w:iCs w:val="1"/>
                <w:color w:val="auto"/>
                <w:w w:val="99"/>
              </w:rPr>
              <w:t>Diluted</w:t>
            </w:r>
          </w:p>
        </w:tc>
        <w:tc>
          <w:tcPr>
            <w:tcW w:w="602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3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101.3</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31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2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31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101.7</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1,942,590 and 850,327 shares of common stock during the first three months of fiscal 2025 and 2024, respectively, were excluded from the computation of diluted net earnings per share of common stock because they were anti-dilutive.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three months ended January 31, 2025 and February 2, 2024 were $552.9 million and $425.6 million, respectively. The total amount of net receivables outstanding under this arrangement with Red Iron as of January 31, 2025, February 2, 2024, and October 31, 2024 were $960.5 million, $963.9 million and $979.6 million, respectively. The total amount of receivables due from Red Iron to the company as of January 31, 2025, February 2, 2024, and October 31, 2024 were $31.6 million, $25.6 million and $26.0 million, respectively.</w:t>
      </w: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months ended January 31, 2025 and February 2, 2024 were $148.9 million and $131.0 million, respectively. As of January 31, 2025, February 2, 2024, and October 31, 2024, $266.5 million, $202.6 million and $272.2 million, respectively, of receivables financed by HCFC and the other third-party financial institutions were outstanding.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January 31, 2025, February 2, 2024 and October 31, 2024, the company was contingently liable to repurchase up to a maximum amount of $28.1 million, $28.7 million, and $29.5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three months ended January 31, 2025 and February 2,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Finance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January 31, 2025, February 2, 2024 and October 31, 2024, $108.6 million, $103.2 million, and $98.8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4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3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8"/>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8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82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66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8.8</w:t>
            </w:r>
          </w:p>
        </w:tc>
        <w:tc>
          <w:tcPr>
            <w:tcW w:w="1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9.2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5.03 %</w:t>
            </w:r>
          </w:p>
        </w:tc>
        <w:tc>
          <w:tcPr>
            <w:tcW w:w="1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4.87 %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5.00 %</w:t>
            </w: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January 31,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3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7"/>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r>
      <w:tr>
        <w:trPr>
          <w:trHeight w:val="217"/>
        </w:trPr>
        <w:tc>
          <w:tcPr>
            <w:tcW w:w="6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38"/>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ind w:right="700"/>
        <w:spacing w:after="0" w:line="380" w:lineRule="auto"/>
        <w:rPr>
          <w:sz w:val="20"/>
          <w:szCs w:val="20"/>
          <w:color w:val="auto"/>
        </w:rPr>
      </w:pPr>
      <w:r>
        <w:rPr>
          <w:rFonts w:ascii="Times New Roman" w:cs="Times New Roman" w:eastAsia="Times New Roman" w:hAnsi="Times New Roman"/>
          <w:sz w:val="17"/>
          <w:szCs w:val="17"/>
          <w:color w:val="auto"/>
        </w:rPr>
        <w:t xml:space="preserve">As of January 31, 2025, the notional amount outstanding of forward currency contracts designated as cash flow hedging instruments was $337.1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8"/>
        </w:trPr>
        <w:tc>
          <w:tcPr>
            <w:tcW w:w="5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47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5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months ended January 31, 2025 and February 2,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55"/>
        </w:trPr>
        <w:tc>
          <w:tcPr>
            <w:tcW w:w="5200" w:type="dxa"/>
            <w:vAlign w:val="bottom"/>
          </w:tcPr>
          <w:p>
            <w:pPr>
              <w:spacing w:after="0"/>
              <w:rPr>
                <w:sz w:val="13"/>
                <w:szCs w:val="13"/>
                <w:color w:val="auto"/>
              </w:rPr>
            </w:pPr>
          </w:p>
        </w:tc>
        <w:tc>
          <w:tcPr>
            <w:tcW w:w="300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Reclassified from AOCL into</w:t>
            </w:r>
          </w:p>
        </w:tc>
        <w:tc>
          <w:tcPr>
            <w:tcW w:w="160" w:type="dxa"/>
            <w:vAlign w:val="bottom"/>
          </w:tcPr>
          <w:p>
            <w:pPr>
              <w:spacing w:after="0"/>
              <w:rPr>
                <w:sz w:val="13"/>
                <w:szCs w:val="13"/>
                <w:color w:val="auto"/>
              </w:rPr>
            </w:pPr>
          </w:p>
        </w:tc>
        <w:tc>
          <w:tcPr>
            <w:tcW w:w="2860" w:type="dxa"/>
            <w:vAlign w:val="bottom"/>
            <w:gridSpan w:val="3"/>
          </w:tcPr>
          <w:p>
            <w:pPr>
              <w:jc w:val="center"/>
              <w:ind w:right="18"/>
              <w:spacing w:after="0" w:line="155" w:lineRule="exact"/>
              <w:rPr>
                <w:sz w:val="20"/>
                <w:szCs w:val="20"/>
                <w:color w:val="auto"/>
              </w:rPr>
            </w:pPr>
            <w:r>
              <w:rPr>
                <w:rFonts w:ascii="Times New Roman" w:cs="Times New Roman" w:eastAsia="Times New Roman" w:hAnsi="Times New Roman"/>
                <w:sz w:val="16"/>
                <w:szCs w:val="16"/>
                <w:b w:val="1"/>
                <w:bCs w:val="1"/>
                <w:color w:val="auto"/>
              </w:rPr>
              <w:t>Gain (Loss) Recognized in OCI on</w:t>
            </w:r>
          </w:p>
        </w:tc>
      </w:tr>
      <w:tr>
        <w:trPr>
          <w:trHeight w:val="219"/>
        </w:trPr>
        <w:tc>
          <w:tcPr>
            <w:tcW w:w="5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111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2"/>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center"/>
              <w:ind w:left="858"/>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878"/>
              <w:spacing w:after="0"/>
              <w:rPr>
                <w:sz w:val="20"/>
                <w:szCs w:val="20"/>
                <w:color w:val="auto"/>
              </w:rPr>
            </w:pPr>
            <w:r>
              <w:rPr>
                <w:rFonts w:ascii="Times New Roman" w:cs="Times New Roman" w:eastAsia="Times New Roman" w:hAnsi="Times New Roman"/>
                <w:sz w:val="16"/>
                <w:szCs w:val="16"/>
                <w:color w:val="auto"/>
              </w:rPr>
              <w:t>(5.7)</w:t>
            </w:r>
          </w:p>
        </w:tc>
      </w:tr>
      <w:tr>
        <w:trPr>
          <w:trHeight w:val="217"/>
        </w:trPr>
        <w:tc>
          <w:tcPr>
            <w:tcW w:w="5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38"/>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98"/>
              <w:spacing w:after="0"/>
              <w:rPr>
                <w:sz w:val="20"/>
                <w:szCs w:val="20"/>
                <w:color w:val="auto"/>
              </w:rPr>
            </w:pPr>
            <w:r>
              <w:rPr>
                <w:rFonts w:ascii="Times New Roman" w:cs="Times New Roman" w:eastAsia="Times New Roman" w:hAnsi="Times New Roman"/>
                <w:sz w:val="16"/>
                <w:szCs w:val="16"/>
                <w:color w:val="auto"/>
              </w:rPr>
              <w:t>0.4</w:t>
            </w: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center"/>
              <w:ind w:left="838"/>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center"/>
              <w:ind w:left="878"/>
              <w:spacing w:after="0"/>
              <w:rPr>
                <w:sz w:val="20"/>
                <w:szCs w:val="20"/>
                <w:color w:val="auto"/>
              </w:rPr>
            </w:pPr>
            <w:r>
              <w:rPr>
                <w:rFonts w:ascii="Times New Roman" w:cs="Times New Roman" w:eastAsia="Times New Roman" w:hAnsi="Times New Roman"/>
                <w:sz w:val="16"/>
                <w:szCs w:val="16"/>
                <w:color w:val="auto"/>
              </w:rPr>
              <w:t>(5.3)</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during the first quarter of fiscal 2025 and fiscal 2024, respectively, due to the discontinuance of cash flow hedge accounting on certain forward currency contracts designated as cash flow hedging instruments. As of January 31, 2025, the company expects to reclassify approximately $1.7 million of gains from AOCL to earnings during the next twelve months.</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7"/>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83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 amounts</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995.0</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1,001.9</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which the effects of cash flow hedging instruments are recorded</w:t>
            </w:r>
          </w:p>
        </w:tc>
        <w:tc>
          <w:tcPr>
            <w:tcW w:w="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 instruments: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24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0.9</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7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9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not designated as cash flow hedging instruments</w:t>
            </w:r>
          </w:p>
        </w:tc>
        <w:tc>
          <w:tcPr>
            <w:tcW w:w="2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7"/>
        </w:trPr>
        <w:tc>
          <w:tcPr>
            <w:tcW w:w="6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6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gain (loss), net</w:t>
            </w:r>
          </w:p>
        </w:tc>
        <w:tc>
          <w:tcPr>
            <w:tcW w:w="220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Borders>
              <w:bottom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gain (loss) on derivatives not designated as cash flow hedging instruments</w:t>
            </w:r>
          </w:p>
        </w:tc>
        <w:tc>
          <w:tcPr>
            <w:tcW w:w="22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
        </w:trPr>
        <w:tc>
          <w:tcPr>
            <w:tcW w:w="68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January 31, 2025, February 2, 2024, and October 31, 2024,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195580</wp:posOffset>
            </wp:positionV>
            <wp:extent cx="3011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28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2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2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2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2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147955</wp:posOffset>
            </wp:positionV>
            <wp:extent cx="3035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9.8</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9.8</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131445</wp:posOffset>
            </wp:positionV>
            <wp:extent cx="30359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18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January 31, 2025, February 2, 2024, and October 31, 2024, the company's long-term debt included $524.2 million, $524.2 million, and $524.2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January 31, 2025, the estimated gross fair value of long-term debt with fixed interest rates was $513.3 million compared to its gross carrying amount of $524.2 million. As of February 2, 2024, the estimated gross fair value of long-term debt with fixed interest rates was $512.6 million compared to its gross carrying amount of $524.2 million. As of October 31, 2024, the estimated gross fair value of long-term debt with fixed interest rates was $520.4 million compared to its gross carrying amount of $524.2 million. For additional information regarding long-term debt with fixed interest rates, refer to Note 5, </w:t>
      </w:r>
      <w:r>
        <w:rPr>
          <w:rFonts w:ascii="Times New Roman" w:cs="Times New Roman" w:eastAsia="Times New Roman" w:hAnsi="Times New Roman"/>
          <w:sz w:val="17"/>
          <w:szCs w:val="17"/>
          <w:i w:val="1"/>
          <w:iCs w:val="1"/>
          <w:color w:val="auto"/>
        </w:rPr>
        <w:t>Indebtedness.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2024.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are disclosed in our most recent Sustainability Report, which is not incorporated by reference into and does not form any part of this report.</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AMP Initiative</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first quarter of fiscal 2024, we launched a significant productivity initiative named AMP, which is a multi-year initiative intended to result in annualized cost savings of more than $100 million by fiscal 2027, driven by sustainable supply-base, design-to-value, route-to-market, and operational efficiency transformation. We expect to reinvest a portion of the savings from this initiative to drive further innovation and growth. As of the first quarter of fiscal 2025, the AMP initiative has delivered cumulative cost savings of $10.7 million and anticipated annualized cost savings of $64.2 million. Refer to the section titled "Non-GAAP Financial Measures" for information about the productivity initiative charges incurred to generate these savings.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Consolidated net sales for the first quarter of fiscal 2025 were $995.0 million, down 0.7 percent compared to $1,001.9 million in the first quarter of fiscal 2024. Professional segment net sales for the first quarter of fiscal 2025 were $768.8 million, an increase of 1.6 percent compared to $756.5 million in the first quarter of the prior fiscal year. Residential segment net sales for the first quarter of fiscal 2025 were $221.0 million, a decrease of 8.0 percent compared to $240.1 million in the first quarter of the prior fiscal year.</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first quarter of fiscal 2025 were $52.8 million, or $0.52 per diluted share, compared to $64.9 million, or $0.62 per diluted share, for the first quarter of fiscal 2024. Adjusted net earnings for the first quarter of fiscal 2025 were $65.9 million, or $0.65 per diluted share, compared to $66.5 million, or $0.64 per diluted share, for the first quarter of fiscal 2024.</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continued our history of paying quarterly cash dividends and increased our cash dividend for the first quarter of fiscal 2025 by 5.6 percent to $0.38 per share compared to $0.36 per share paid in the first quarter of fiscal 2024.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$138.5 million of cash to our shareholders during the first three months of fiscal 2025.</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Field inventory levels were higher as of the end of the first quarter of fiscal 2025 compared to the end of the first quarter of fiscal 2024, primarily due to increased balances of golf and grounds, underground construction, and lawn care products, partially offset by reduced balances of snow and ice management products.</w:t>
      </w:r>
    </w:p>
    <w:p>
      <w:pPr>
        <w:spacing w:after="0" w:line="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higher as of the end of the first quarter of fiscal 2025 compared to the end of the fourth quarter of fiscal 2024 primarily due to normal seasonal trends for lawn care products. Although manufacturing output and lead times for underground construction and golf and grounds products have improved, sustained demand for those products continues to keep order backlog significantly elevated over what the company would consider normal.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Consolidated net sales for the first quarter of fiscal 2025 were $995.0 million, down 0.7 percent compared to $1,001.9 million in the first quarter of fiscal 2024. This decrease was primarily driven by lower shipments of Residential segment products and the prior year divestiture of the Pope Products ("Pope") garden watering and irrigation business, partially offset by higher shipments of Professional segment products.</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in international markets increased by $6.4 million for the first quarter of fiscal 2025 compared to the first quarter of fiscal 2024. This increase was primarily due to higher shipments of Professional segment products, partially offset by lower shipments of Residential segment products. Changes in foreign currency exchange rates resulted in a decrease in our net sales of approximately $4.1 million for the first quarter of fiscal 2025 compared to the first quarter of fiscal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4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00" w:type="dxa"/>
            <w:vAlign w:val="bottom"/>
            <w:tcBorders>
              <w:top w:val="single" w:sz="8" w:color="auto"/>
              <w:bottom w:val="single" w:sz="8" w:color="auto"/>
            </w:tcBorders>
          </w:tcPr>
          <w:p>
            <w:pPr>
              <w:spacing w:after="0"/>
              <w:rPr>
                <w:sz w:val="19"/>
                <w:szCs w:val="19"/>
                <w:color w:val="auto"/>
              </w:rPr>
            </w:pPr>
          </w:p>
        </w:tc>
        <w:tc>
          <w:tcPr>
            <w:tcW w:w="418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6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100.0 %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1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(66.3)</w:t>
            </w:r>
          </w:p>
        </w:tc>
        <w:tc>
          <w:tcPr>
            <w:tcW w:w="1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(65.6)</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41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33.7</w:t>
            </w:r>
          </w:p>
        </w:tc>
        <w:tc>
          <w:tcPr>
            <w:tcW w:w="1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34.4</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41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(25.9)</w:t>
            </w:r>
          </w:p>
        </w:tc>
        <w:tc>
          <w:tcPr>
            <w:tcW w:w="1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(25.6)</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41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7.8</w:t>
            </w:r>
          </w:p>
        </w:tc>
        <w:tc>
          <w:tcPr>
            <w:tcW w:w="1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8.8</w:t>
            </w:r>
          </w:p>
        </w:tc>
      </w:tr>
      <w:tr>
        <w:trPr>
          <w:trHeight w:val="21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18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(1.5)</w:t>
            </w:r>
          </w:p>
        </w:tc>
        <w:tc>
          <w:tcPr>
            <w:tcW w:w="16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(1.6)</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18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0.3</w:t>
            </w:r>
          </w:p>
        </w:tc>
        <w:tc>
          <w:tcPr>
            <w:tcW w:w="16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18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rPr>
              <w:t>6.6</w:t>
            </w:r>
          </w:p>
        </w:tc>
        <w:tc>
          <w:tcPr>
            <w:tcW w:w="16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8.0</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1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(1.3)</w:t>
            </w:r>
          </w:p>
        </w:tc>
        <w:tc>
          <w:tcPr>
            <w:tcW w:w="16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4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5.3 %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first quarter of fiscal 2025 was $335.6 million, down 2.6 percent compared to $344.5 million in the first quarter of fiscal 2024. Adjusted gross profit for the first quarter of fiscal 2025 was $339.4 million, down 1.5 percent compared to $344.5 million in the first quarter of fiscal 2024. Gross margin was 33.7 percent for the first quarter of fiscal 2025 compared to 34.4 percent for the first quarter of fiscal 2024, a decrease of 70 basis points. The decrease in gross margin was primarily due to higher material and manufacturing costs, partially offset by productivity improvements.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SG&amp;A expense increased $1.9 million, or 0.7 percent, for the first quarter of fiscal 2025 compared to the first quarter of fiscal 2024. As a percentage of net sales, SG&amp;A expense increased 30 basis points for the first quarter of fiscal 2025 compared to the first quarter of fiscal 2024. The increase in SG&amp;A expense as a percentage of net sales for the first quarter comparison was primarily due to higher productivity initiative charges, partially offset by lower marketing costs.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Interest expense decreased $1.2 million for the first quarter of fiscal 2025 compared to the first quarter of fiscal 2024. The decrease in interest expense was primarily due to lower average outstanding borrowings and lower average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Other income, net decreased $4.4 million for the first quarter of fiscal 2025 compared to the first quarter of fiscal 2024. The decrease in other income, net was primarily due to the unfavorable impact from derivative instruments.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effective tax rate for the first quarter of fiscal 2025 was 20.1 percent compared to 19.0 percent in the first quarter of fiscal 2024, primarily due to lower tax benefits recorded as excess tax deductions for stock-based compensation, partially offset by a more favorable geographic mix of earnings. The adjusted effective tax rate for the first quarter of fiscal 2025 was 20.2 percent, compared to 20.8 percent in the first quarter of fiscal 2024, primarily driven by a more favorable geographic mix of earnings.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earnings for the first quarter of fiscal 2025 were $52.8 million, or $0.52 per diluted share, compared to $64.9 million, or $0.62 per diluted share, for the first quarter of fiscal 2024. The decrease in net earnings per diluted share was primarily due to higher productivity initiative charges and lower Residential segment earnings, partially offset by higher Professional segment earnings. Adjusted net earnings for the first quarter of fiscal 2025 were $65.9 million, or $0.65 per diluted share, compared to $66.5 million, or $0.64 per diluted share, for the first quarter of fiscal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40" w:type="dxa"/>
            <w:vAlign w:val="bottom"/>
          </w:tcPr>
          <w:p>
            <w:pPr>
              <w:spacing w:after="0"/>
              <w:rPr>
                <w:sz w:val="13"/>
                <w:szCs w:val="13"/>
                <w:color w:val="auto"/>
              </w:rPr>
            </w:pPr>
          </w:p>
        </w:tc>
        <w:tc>
          <w:tcPr>
            <w:tcW w:w="132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January 31, 2025</w:t>
            </w:r>
          </w:p>
        </w:tc>
        <w:tc>
          <w:tcPr>
            <w:tcW w:w="160" w:type="dxa"/>
            <w:vAlign w:val="bottom"/>
          </w:tcPr>
          <w:p>
            <w:pPr>
              <w:spacing w:after="0"/>
              <w:rPr>
                <w:sz w:val="13"/>
                <w:szCs w:val="13"/>
                <w:color w:val="auto"/>
              </w:rPr>
            </w:pPr>
          </w:p>
        </w:tc>
        <w:tc>
          <w:tcPr>
            <w:tcW w:w="13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Pr>
          <w:p>
            <w:pPr>
              <w:spacing w:after="0"/>
              <w:rPr>
                <w:sz w:val="13"/>
                <w:szCs w:val="13"/>
                <w:color w:val="auto"/>
              </w:rPr>
            </w:pPr>
          </w:p>
        </w:tc>
        <w:tc>
          <w:tcPr>
            <w:tcW w:w="132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78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768.8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756.5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54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221.0</w:t>
            </w:r>
          </w:p>
        </w:tc>
        <w:tc>
          <w:tcPr>
            <w:tcW w:w="16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240.1</w:t>
            </w:r>
          </w:p>
        </w:tc>
        <w:tc>
          <w:tcPr>
            <w:tcW w:w="24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(19.1)</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2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995.0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1,001.9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(6.9)</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84"/>
        </w:trPr>
        <w:tc>
          <w:tcPr>
            <w:tcW w:w="37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211.4</w:t>
            </w:r>
          </w:p>
        </w:tc>
        <w:tc>
          <w:tcPr>
            <w:tcW w:w="1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205.0</w:t>
            </w:r>
          </w:p>
        </w:tc>
        <w:tc>
          <w:tcPr>
            <w:tcW w:w="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6.4</w:t>
            </w:r>
          </w:p>
        </w:tc>
        <w:tc>
          <w:tcPr>
            <w:tcW w:w="1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for our reportable business segments and operating (loss) for our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80" w:type="dxa"/>
            <w:vAlign w:val="bottom"/>
          </w:tcPr>
          <w:p>
            <w:pPr>
              <w:spacing w:after="0"/>
              <w:rPr>
                <w:sz w:val="13"/>
                <w:szCs w:val="13"/>
                <w:color w:val="auto"/>
              </w:rPr>
            </w:pPr>
          </w:p>
        </w:tc>
        <w:tc>
          <w:tcPr>
            <w:tcW w:w="134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January 31, 2025</w:t>
            </w:r>
          </w:p>
        </w:tc>
        <w:tc>
          <w:tcPr>
            <w:tcW w:w="140" w:type="dxa"/>
            <w:vAlign w:val="bottom"/>
          </w:tcPr>
          <w:p>
            <w:pPr>
              <w:spacing w:after="0"/>
              <w:rPr>
                <w:sz w:val="13"/>
                <w:szCs w:val="13"/>
                <w:color w:val="auto"/>
              </w:rPr>
            </w:pPr>
          </w:p>
        </w:tc>
        <w:tc>
          <w:tcPr>
            <w:tcW w:w="136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Pr>
          <w:p>
            <w:pPr>
              <w:spacing w:after="0"/>
              <w:rPr>
                <w:sz w:val="13"/>
                <w:szCs w:val="13"/>
                <w:color w:val="auto"/>
              </w:rPr>
            </w:pPr>
          </w:p>
        </w:tc>
        <w:tc>
          <w:tcPr>
            <w:tcW w:w="132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14.4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17"/>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88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17.2</w:t>
            </w:r>
          </w:p>
        </w:tc>
        <w:tc>
          <w:tcPr>
            <w:tcW w:w="14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20"/>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(22.1)</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66.1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2"/>
        </w:trPr>
        <w:tc>
          <w:tcPr>
            <w:tcW w:w="3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Professional segment for the first quarter of fiscal 2025 increased 1.6 percent compared to the first quarter of fiscal 2024. This increase was driven primarily by higher shipments of golf and grounds products and zero-turn mowers, along with net price realization, partially offset by lower shipments of compact utility loaders.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Professional segment earnings for the first quarter of fiscal 2025 increased 12.8 percent compared to the first quarter of fiscal 2024, and Professional segment earnings margin increased to 16.5 percent from 14.9 percent in the first quarter of fiscal 2024. The increase in Professional segment earnings margin was primarily due to net sales leverage, product mix, and productivity improvements, partially offset by higher material, manufacturing, and freight costs.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Residential segment for the first quarter of fiscal 2025 decreased 8.0 percent compared to the first quarter of fiscal 2024. The decrease in Residential segment net sales was primarily driven by lower shipments of snow and portable power products, the prior year Pope divestiture, and higher sales promotions and incentives, partially offset by higher shipments of zero-turn and walk power mowers.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Residential segment earnings for the first quarter of fiscal 2025 decreased 26.8 percent compared to the first quarter of fiscal 2024, and Residential segment earnings margin decreased to 7.8 percent from 9.8 percent in the first quarter of fiscal 2024. The decrease in Residential segment earnings margin was largely driven by higher material, manufacturing, and freight costs, higher sales promotions and incentives, and product mix, partially offset by productivity improvements.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first quarter of fiscal 2025 decreased by $0.1 million compared to the same period in fiscal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operating loss for our Other activities for the first quarter of fiscal 2025 increased $22.1 million compared to the first quarter of fiscal 2024, primarily due to higher productivity initiative charges, higher corporate expenses, and the unfavorable impact from derivative instruments.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first quarter of fiscal 2025 increased $5.2 million, or 1.1 percent, compared to the end of the first quarter of fiscal 2024, primarily driven by increased international shipments, partially offset by lower mass channel shipments. Inventory levels were down $34.0 million, or 2.9 percent, as of the first quarter of fiscal 2025 compared to the first quarter of fiscal 2024, primarily due to lower balances of lawn care products, partially offset by higher balances of compact utility loaders. Accounts payable increased $25.3 million, or 6.0 percent, as of the end of the first quarter of fiscal 2025 compared to the end of the first quarter of fiscal 2024, primarily due to higher purchases.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used in operating activities for the first three months of fiscal 2025 was $48.6 million compared to $92.2 million for the first three months of fiscal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change was mainly due to net favorable fluctuations in working capital.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used in investing activities for the first three months of fiscal 2025 was $19.1 million compared to $19.1 million for the first three months of fiscal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provided by financing activities for the first three months of fiscal 2025 was $44.6 million compared to $114.1 million for the first three months of fiscal 2024. This change was mainly due to higher common stock repurchases, partially offset by higher borrowings under the revolving credit facility.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January 31, 2025, we had available liquidity of $884.1 million, consisting of cash and cash equivalents of $171.3 million, of which $117.6 million was held by our foreign subsidiaries, and availability under our revolving credit facility of $712.8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in our Annual Report on Form 10-K for the fiscal year ended October 31, 2024.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78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78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78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78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78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1,106.9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1,186.6</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1,091.9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2"/>
        </w:trPr>
        <w:tc>
          <w:tcPr>
            <w:tcW w:w="4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January 31, 2025, we had $185.0 million outstanding borrowings under our revolving credit facility and $2.2 million outstanding under the sublimit for standby letters of credit, which resulted in $712.8 million of unutilized availability under our revolving credit facility's $900 million borrowing capacity.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$0.38 per share for the first quarter of fiscal 2025 that was paid on January 13, 2025. This was an increase of 5.6 percent over our cash dividend of $0.36 per share for the first quarter of fiscal 2024. We expect to continue paying our quarterly cash dividend to shareholders for the remainder of fiscal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Repurchases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three months of fiscal 2025, we repurchased 1,240,496 shares of our common stock under our stock repurchase program, thereby reducing our total shares of common stock outstanding. As of January 31, 2025, 6,931,461 shares of common stock remained available for repurchase under our stock repurchase program. We expect to continue to repurchase shares of our common stock throughout the remainder of fiscal 2025, depending on our cash balance, debt repayments, market conditions, our anticipated working capital needs, the price of our common stock, investment priorities, and/or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in our Annual Report on Form 10-K for the fiscal year ended October 31, 2024. There have been no material changes to our customer financing arrangements during the first three months of fiscal 2025.</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three month periods ended January 31, 2025 and February 2, 2024 were $552.9 million and $425.6 million, respectively. The total amount of net receivables outstanding under the arrangement with Red Iron as of January 31, 2025, February 2, 2024 and October 31, 2024 were $960.5 million, $963.9 million and $979.6 million, respectively. The total amount of receivables due from Red Iron to us as of January 31, 2025, February 2, 2024 and October 31, 2024 were $31.6 million, $25.6 million and $26.0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 periods ended January 31, 2025 and February 2, 2024 were $148.9 million and $131.0 million, respectively. The total amount of net receivables outstanding under the arrangements with HCFC and the other third-party financial institutions as of January 31, 2025, February 2, 2024, and October 31, 2024 were $266.5 million, $202.6 million, and $272.2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January 31, 2025, February 2, 2024, and October 31, 2024, we were contingently liable to repurchase up to a maximum amount of $28.1 million, $28.7 million, and $29.5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three months ended January 31, 2025 and February 2, 2024.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month periods ended January 31, 2025 and February 2, 2024:</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25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335.6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344.5</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339.4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344.5</w:t>
            </w:r>
          </w:p>
        </w:tc>
      </w:tr>
      <w:tr>
        <w:trPr>
          <w:trHeight w:val="73"/>
        </w:trPr>
        <w:tc>
          <w:tcPr>
            <w:tcW w:w="532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2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r>
      <w:tr>
        <w:trPr>
          <w:trHeight w:val="73"/>
        </w:trPr>
        <w:tc>
          <w:tcPr>
            <w:tcW w:w="532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77.8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88.6</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94.0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92.5</w:t>
            </w:r>
          </w:p>
        </w:tc>
      </w:tr>
      <w:tr>
        <w:trPr>
          <w:trHeight w:val="73"/>
        </w:trPr>
        <w:tc>
          <w:tcPr>
            <w:tcW w:w="532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 margin</w:t>
            </w:r>
          </w:p>
        </w:tc>
        <w:tc>
          <w:tcPr>
            <w:tcW w:w="2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2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73"/>
        </w:trPr>
        <w:tc>
          <w:tcPr>
            <w:tcW w:w="532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80.1</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84.0</w:t>
            </w:r>
          </w:p>
        </w:tc>
      </w:tr>
      <w:tr>
        <w:trPr>
          <w:trHeight w:val="73"/>
        </w:trPr>
        <w:tc>
          <w:tcPr>
            <w:tcW w:w="532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15.2</w:t>
            </w:r>
          </w:p>
        </w:tc>
      </w:tr>
      <w:tr>
        <w:trPr>
          <w:trHeight w:val="220"/>
        </w:trPr>
        <w:tc>
          <w:tcPr>
            <w:tcW w:w="532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252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0.8</w:t>
            </w:r>
          </w:p>
        </w:tc>
      </w:tr>
      <w:tr>
        <w:trPr>
          <w:trHeight w:val="220"/>
        </w:trPr>
        <w:tc>
          <w:tcPr>
            <w:tcW w:w="532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share-based compensation</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17.5</w:t>
            </w:r>
          </w:p>
        </w:tc>
      </w:tr>
      <w:tr>
        <w:trPr>
          <w:trHeight w:val="99"/>
        </w:trPr>
        <w:tc>
          <w:tcPr>
            <w:tcW w:w="53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52.8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64.9</w:t>
            </w:r>
          </w:p>
        </w:tc>
      </w:tr>
      <w:tr>
        <w:trPr>
          <w:trHeight w:val="223"/>
        </w:trPr>
        <w:tc>
          <w:tcPr>
            <w:tcW w:w="532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3.1</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(1.5)</w:t>
            </w:r>
          </w:p>
        </w:tc>
      </w:tr>
      <w:tr>
        <w:trPr>
          <w:trHeight w:val="235"/>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66.5</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53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0.62</w:t>
            </w:r>
          </w:p>
        </w:tc>
      </w:tr>
      <w:tr>
        <w:trPr>
          <w:trHeight w:val="220"/>
        </w:trPr>
        <w:tc>
          <w:tcPr>
            <w:tcW w:w="532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1</w:t>
            </w:r>
          </w:p>
        </w:tc>
        <w:tc>
          <w:tcPr>
            <w:tcW w:w="252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0.13</w:t>
            </w:r>
          </w:p>
        </w:tc>
        <w:tc>
          <w:tcPr>
            <w:tcW w:w="24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0.03</w:t>
            </w:r>
          </w:p>
        </w:tc>
      </w:tr>
      <w:tr>
        <w:trPr>
          <w:trHeight w:val="220"/>
        </w:trPr>
        <w:tc>
          <w:tcPr>
            <w:tcW w:w="532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(0.01)</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0.65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0.64</w:t>
            </w:r>
          </w:p>
        </w:tc>
      </w:tr>
      <w:tr>
        <w:trPr>
          <w:trHeight w:val="99"/>
        </w:trPr>
        <w:tc>
          <w:tcPr>
            <w:tcW w:w="53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19.0 %</w:t>
            </w:r>
          </w:p>
        </w:tc>
      </w:tr>
      <w:tr>
        <w:trPr>
          <w:trHeight w:val="223"/>
        </w:trPr>
        <w:tc>
          <w:tcPr>
            <w:tcW w:w="5320" w:type="dxa"/>
            <w:vAlign w:val="bottom"/>
            <w:tcBorders>
              <w:bottom w:val="single" w:sz="8" w:color="auto"/>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2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2"/>
        </w:trPr>
        <w:tc>
          <w:tcPr>
            <w:tcW w:w="53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240" w:hanging="159"/>
        <w:spacing w:after="0" w:line="234" w:lineRule="auto"/>
        <w:tabs>
          <w:tab w:leader="none" w:pos="2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month periods ended January 31, 2025 and February 2, 2024 primarily represent severance and termination benefits, third-party consulting costs, facility exit costs, compensation for fully-dedicated AMP personnel, and product-line exit costs.</w:t>
      </w:r>
    </w:p>
    <w:p>
      <w:pPr>
        <w:spacing w:after="0" w:line="96" w:lineRule="exact"/>
        <w:rPr>
          <w:sz w:val="20"/>
          <w:szCs w:val="20"/>
          <w:color w:val="auto"/>
        </w:rPr>
      </w:pPr>
    </w:p>
    <w:p>
      <w:pPr>
        <w:jc w:val="both"/>
        <w:ind w:left="240" w:hanging="159"/>
        <w:spacing w:after="0" w:line="230" w:lineRule="auto"/>
        <w:tabs>
          <w:tab w:leader="none" w:pos="305"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January 31, 2025 and February 2,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three month periods ended January 31, 2025 and February 2, 2024:</w:t>
      </w:r>
    </w:p>
    <w:p>
      <w:pPr>
        <w:spacing w:after="0" w:line="10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(92.2)</w:t>
            </w:r>
          </w:p>
        </w:tc>
      </w:tr>
      <w:tr>
        <w:trPr>
          <w:trHeight w:val="217"/>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w:t>
            </w:r>
          </w:p>
        </w:tc>
        <w:tc>
          <w:tcPr>
            <w:tcW w:w="2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19.1</w:t>
            </w:r>
          </w:p>
        </w:tc>
      </w:tr>
      <w:tr>
        <w:trPr>
          <w:trHeight w:val="216"/>
        </w:trPr>
        <w:tc>
          <w:tcPr>
            <w:tcW w:w="5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(111.3)</w:t>
            </w:r>
          </w:p>
        </w:tc>
      </w:tr>
      <w:tr>
        <w:trPr>
          <w:trHeight w:val="217"/>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52.8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64.9</w:t>
            </w:r>
          </w:p>
        </w:tc>
      </w:tr>
      <w:tr>
        <w:trPr>
          <w:trHeight w:val="238"/>
        </w:trPr>
        <w:tc>
          <w:tcPr>
            <w:tcW w:w="5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2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Annual Report on Form 10-K for the fiscal year ended October 31, 2024.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2024 for a discussion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2024. Refer to Part II, Item 7A, "Quantitative and Qualitative Disclosures about Market Risk", within our Annual Report on Form 10-K for the fiscal year ended October 31, 2024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15,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2025 through fiscal 2027. All items are non-trading and stated in U.S. dollars. As of January 31, 2025,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average contracted rate)</w:t>
            </w:r>
          </w:p>
        </w:tc>
        <w:tc>
          <w:tcPr>
            <w:tcW w:w="22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0.6558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96.5</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1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1.3583</w:t>
            </w:r>
          </w:p>
        </w:tc>
        <w:tc>
          <w:tcPr>
            <w:tcW w:w="16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47.7</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380" w:type="dxa"/>
            <w:vAlign w:val="bottom"/>
          </w:tcPr>
          <w:p>
            <w:pPr>
              <w:spacing w:after="0"/>
              <w:rPr>
                <w:sz w:val="18"/>
                <w:szCs w:val="18"/>
                <w:color w:val="auto"/>
              </w:rPr>
            </w:pPr>
          </w:p>
        </w:tc>
        <w:tc>
          <w:tcPr>
            <w:tcW w:w="112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9"/>
              </w:rPr>
              <w:t>2.2</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1.1006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178.6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6.4</w:t>
            </w:r>
          </w:p>
        </w:tc>
        <w:tc>
          <w:tcPr>
            <w:tcW w:w="0" w:type="dxa"/>
            <w:vAlign w:val="bottom"/>
          </w:tcPr>
          <w:p>
            <w:pPr>
              <w:spacing w:after="0"/>
              <w:rPr>
                <w:sz w:val="1"/>
                <w:szCs w:val="1"/>
                <w:color w:val="auto"/>
              </w:rPr>
            </w:pPr>
          </w:p>
        </w:tc>
      </w:tr>
      <w:tr>
        <w:trPr>
          <w:trHeight w:val="21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1.2517</w:t>
            </w:r>
          </w:p>
        </w:tc>
        <w:tc>
          <w:tcPr>
            <w:tcW w:w="16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56.3</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380" w:type="dxa"/>
            <w:vAlign w:val="bottom"/>
          </w:tcPr>
          <w:p>
            <w:pPr>
              <w:spacing w:after="0"/>
              <w:rPr>
                <w:sz w:val="18"/>
                <w:szCs w:val="18"/>
                <w:color w:val="auto"/>
              </w:rPr>
            </w:pPr>
          </w:p>
        </w:tc>
        <w:tc>
          <w:tcPr>
            <w:tcW w:w="112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9"/>
              </w:rPr>
              <w:t>0.3</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19.9279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67.1</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January 31, 2025 includes $524.2 million of gross fixed-rate long-term debt that is not subject to variable interest rate fluctuations, $400.0 million of gross variable rate debt under our term loan credit agreements, and $185.0 million outstanding under our variable rate revolving credit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 period ended January 31, 2025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Periodically, the company's Board of Directors authorizes the repurchase of shares of the company's common stock in open-market or privately negotiated transactions under the company's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the company's common stock purchased by the company during each of the three fiscal months in the company's first quarter ended January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(or Units)</w:t>
            </w: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2100" w:type="dxa"/>
            <w:vAlign w:val="bottom"/>
            <w:vMerge w:val="restart"/>
          </w:tcPr>
          <w:p>
            <w:pPr>
              <w:jc w:val="center"/>
              <w:ind w:left="53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Purchased As</w:t>
            </w:r>
          </w:p>
        </w:tc>
        <w:tc>
          <w:tcPr>
            <w:tcW w:w="1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56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8"/>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00" w:type="dxa"/>
            <w:vAlign w:val="bottom"/>
          </w:tcPr>
          <w:p>
            <w:pPr>
              <w:jc w:val="center"/>
              <w:ind w:left="538"/>
              <w:spacing w:after="0" w:line="168"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560" w:type="dxa"/>
            <w:vAlign w:val="bottom"/>
            <w:gridSpan w:val="2"/>
            <w:vMerge w:val="continue"/>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20"/>
        </w:trPr>
        <w:tc>
          <w:tcPr>
            <w:tcW w:w="392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tcPr>
          <w:p>
            <w:pPr>
              <w:jc w:val="center"/>
              <w:ind w:left="538"/>
              <w:spacing w:after="0" w:line="220" w:lineRule="exact"/>
              <w:rPr>
                <w:sz w:val="20"/>
                <w:szCs w:val="20"/>
                <w:color w:val="auto"/>
              </w:rPr>
            </w:pPr>
            <w:r>
              <w:rPr>
                <w:rFonts w:ascii="Times New Roman" w:cs="Times New Roman" w:eastAsia="Times New Roman" w:hAnsi="Times New Roman"/>
                <w:sz w:val="16"/>
                <w:szCs w:val="16"/>
                <w:b w:val="1"/>
                <w:bCs w:val="1"/>
                <w:color w:val="auto"/>
                <w:w w:val="95"/>
              </w:rPr>
              <w:t>Purchased</w:t>
            </w:r>
            <w:r>
              <w:rPr>
                <w:rFonts w:ascii="Times New Roman" w:cs="Times New Roman" w:eastAsia="Times New Roman" w:hAnsi="Times New Roman"/>
                <w:sz w:val="21"/>
                <w:szCs w:val="21"/>
                <w:b w:val="1"/>
                <w:bCs w:val="1"/>
                <w:color w:val="auto"/>
                <w:w w:val="95"/>
                <w:vertAlign w:val="superscript"/>
              </w:rPr>
              <w:t>1,2,3</w:t>
            </w:r>
          </w:p>
        </w:tc>
        <w:tc>
          <w:tcPr>
            <w:tcW w:w="156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per Share (or Unit)</w:t>
            </w:r>
          </w:p>
        </w:tc>
        <w:tc>
          <w:tcPr>
            <w:tcW w:w="188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178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2024 through November 29, 2024</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304,068</w:t>
            </w:r>
          </w:p>
        </w:tc>
        <w:tc>
          <w:tcPr>
            <w:tcW w:w="64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82.22</w:t>
            </w:r>
          </w:p>
        </w:tc>
        <w:tc>
          <w:tcPr>
            <w:tcW w:w="18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304,068</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7,867,889</w:t>
            </w: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30, 2024 through January 3, 2025</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495,804</w:t>
            </w:r>
          </w:p>
        </w:tc>
        <w:tc>
          <w:tcPr>
            <w:tcW w:w="64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80.64</w:t>
            </w:r>
          </w:p>
        </w:tc>
        <w:tc>
          <w:tcPr>
            <w:tcW w:w="18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495,804</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7,372,085</w:t>
            </w:r>
          </w:p>
        </w:tc>
        <w:tc>
          <w:tcPr>
            <w:tcW w:w="0" w:type="dxa"/>
            <w:vAlign w:val="bottom"/>
          </w:tcPr>
          <w:p>
            <w:pPr>
              <w:spacing w:after="0"/>
              <w:rPr>
                <w:sz w:val="1"/>
                <w:szCs w:val="1"/>
                <w:color w:val="auto"/>
              </w:rPr>
            </w:pPr>
          </w:p>
        </w:tc>
      </w:tr>
      <w:tr>
        <w:trPr>
          <w:trHeight w:val="22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4, 2025 through January 31, 2025</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442,297</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79.47</w:t>
            </w:r>
          </w:p>
        </w:tc>
        <w:tc>
          <w:tcPr>
            <w:tcW w:w="18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440,624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6,931,461</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1,242,169</w:t>
            </w:r>
          </w:p>
        </w:tc>
        <w:tc>
          <w:tcPr>
            <w:tcW w:w="6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80.61</w:t>
            </w:r>
          </w:p>
        </w:tc>
        <w:tc>
          <w:tcPr>
            <w:tcW w:w="18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1,240,496</w:t>
            </w: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160" w:hanging="157"/>
        <w:spacing w:after="0" w:line="235" w:lineRule="auto"/>
        <w:tabs>
          <w:tab w:leader="none" w:pos="212"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up to 5,000,000 shares of common stock under the stock repurchase program. The company repurchased 1,240,496 shares under this tranche of the stock repurchase program during the period indicated above and as a result, 2,931,461 shares remained available to repurchase as of January 31, 2025.</w:t>
      </w:r>
    </w:p>
    <w:p>
      <w:pPr>
        <w:spacing w:after="0" w:line="81" w:lineRule="exact"/>
        <w:rPr>
          <w:sz w:val="20"/>
          <w:szCs w:val="20"/>
          <w:color w:val="auto"/>
        </w:rPr>
      </w:pPr>
    </w:p>
    <w:p>
      <w:pPr>
        <w:ind w:left="160" w:hanging="157"/>
        <w:spacing w:after="0" w:line="227" w:lineRule="auto"/>
        <w:tabs>
          <w:tab w:leader="none" w:pos="186"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10, 2024, the company’s Board of Directors authorized the repurchase of up to an additional 4,000,000 shares of common stock under the stock repurchase program. No shares were repurchased under this tranche of the stock repurchase program during the time period indicated above.</w:t>
      </w:r>
    </w:p>
    <w:p>
      <w:pPr>
        <w:spacing w:after="0" w:line="82" w:lineRule="exact"/>
        <w:rPr>
          <w:sz w:val="20"/>
          <w:szCs w:val="20"/>
          <w:color w:val="auto"/>
        </w:rPr>
      </w:pPr>
    </w:p>
    <w:p>
      <w:pPr>
        <w:ind w:left="160" w:hanging="157"/>
        <w:spacing w:after="0" w:line="227" w:lineRule="auto"/>
        <w:tabs>
          <w:tab w:leader="none" w:pos="186"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1,673 shares of the company’s common stock repurchased in open-market transactions at an average price of $78.32 per share on behalf of a rabbi trust formed to pay benefit obligations of the company to participants in the company's deferred compensation plans. These 1,673 shares were not repurchased under the stock repurchase program.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company’s first quarter ended January 31, 2025, none of its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gridSpan w:val="17"/>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00" w:type="dxa"/>
            <w:vAlign w:val="bottom"/>
            <w:gridSpan w:val="18"/>
          </w:tcPr>
          <w:p>
            <w:pPr>
              <w:spacing w:after="0" w:line="161"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51">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7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40" w:type="dxa"/>
            <w:vAlign w:val="bottom"/>
            <w:tcBorders>
              <w:top w:val="single" w:sz="8" w:color="0000FF"/>
            </w:tcBorders>
            <w:gridSpan w:val="15"/>
          </w:tcPr>
          <w:p>
            <w:pPr>
              <w:spacing w:after="0" w:line="135"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53">
              <w:r>
                <w:rPr>
                  <w:rFonts w:ascii="Times New Roman" w:cs="Times New Roman" w:eastAsia="Times New Roman" w:hAnsi="Times New Roman"/>
                  <w:sz w:val="15"/>
                  <w:szCs w:val="15"/>
                  <w:color w:val="0000FF"/>
                </w:rPr>
                <w:t>filed with the Securities and Exchange Commission on May 30, 2023, Commission File No. 1-8649).</w:t>
              </w:r>
            </w:hyperlink>
          </w:p>
        </w:tc>
        <w:tc>
          <w:tcPr>
            <w:tcW w:w="30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0"/>
          </w:tcPr>
          <w:p>
            <w:pPr>
              <w:spacing w:after="0" w:line="135" w:lineRule="exact"/>
              <w:rPr>
                <w:rFonts w:ascii="Times New Roman" w:cs="Times New Roman" w:eastAsia="Times New Roman" w:hAnsi="Times New Roman"/>
                <w:sz w:val="15"/>
                <w:szCs w:val="15"/>
                <w:color w:val="0000FF"/>
              </w:rPr>
            </w:pPr>
            <w:hyperlink r:id="rId54">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gridSpan w:val="12"/>
          </w:tcPr>
          <w:p>
            <w:pPr>
              <w:spacing w:after="0" w:line="148"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35" w:lineRule="exact"/>
              <w:rPr>
                <w:rFonts w:ascii="Times New Roman" w:cs="Times New Roman" w:eastAsia="Times New Roman" w:hAnsi="Times New Roman"/>
                <w:sz w:val="15"/>
                <w:szCs w:val="15"/>
                <w:color w:val="0000FF"/>
              </w:rPr>
            </w:pPr>
            <w:hyperlink r:id="rId55">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0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080" w:type="dxa"/>
            <w:vAlign w:val="bottom"/>
            <w:tcBorders>
              <w:top w:val="single" w:sz="8" w:color="0000FF"/>
            </w:tcBorders>
            <w:gridSpan w:val="1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January 31, 2025,</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filed with the SEC on March 6, 2025, formatted in Inline eXtensible Business Reporting Language (Inline XBRL): (i) Condensed Consolidated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Statements of Earnings for the three month periods ended January 31, 2025 and February 2, 2024, (ii) Condensed Consolidated Statements of</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4" w:lineRule="exact"/>
              <w:rPr>
                <w:sz w:val="20"/>
                <w:szCs w:val="20"/>
                <w:color w:val="auto"/>
              </w:rPr>
            </w:pPr>
            <w:r>
              <w:rPr>
                <w:rFonts w:ascii="Times New Roman" w:cs="Times New Roman" w:eastAsia="Times New Roman" w:hAnsi="Times New Roman"/>
                <w:sz w:val="16"/>
                <w:szCs w:val="16"/>
                <w:color w:val="auto"/>
              </w:rPr>
              <w:t>Comprehensive Income (Loss) for the three month periods ended January 31, 2025 and February 2, 2024, (iii) Condensed Consolidated Balance</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Sheets as of January 31, 2025, February 2, 2024, and October 31, 2024, (iv) Condensed Consolidated Statement of Cash Flows for the three</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month periods ended January 31, 2025 and February 2, 2024, (v) Condensed Consolidated Statements of Stockholders' Equity for the three</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month periods ended January 31, 2025 and February 2, 2024,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THE TORO COMPANY</w:t>
            </w:r>
          </w:p>
        </w:tc>
      </w:tr>
      <w:tr>
        <w:trPr>
          <w:trHeight w:val="223"/>
        </w:trPr>
        <w:tc>
          <w:tcPr>
            <w:tcW w:w="3080" w:type="dxa"/>
            <w:vAlign w:val="bottom"/>
          </w:tcPr>
          <w:p>
            <w:pPr>
              <w:spacing w:after="0"/>
              <w:rPr>
                <w:sz w:val="19"/>
                <w:szCs w:val="19"/>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(Registrant)</w:t>
            </w:r>
          </w:p>
        </w:tc>
      </w:tr>
      <w:tr>
        <w:trPr>
          <w:trHeight w:val="40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Date: March 6, 2025</w:t>
            </w:r>
          </w:p>
        </w:tc>
        <w:tc>
          <w:tcPr>
            <w:tcW w:w="8140" w:type="dxa"/>
            <w:vAlign w:val="bottom"/>
            <w:gridSpan w:val="2"/>
          </w:tcPr>
          <w:p>
            <w:pPr>
              <w:ind w:left="2480"/>
              <w:spacing w:after="0"/>
              <w:rPr>
                <w:sz w:val="20"/>
                <w:szCs w:val="20"/>
                <w:color w:val="auto"/>
              </w:rPr>
            </w:pPr>
            <w:r>
              <w:rPr>
                <w:rFonts w:ascii="Times New Roman" w:cs="Times New Roman" w:eastAsia="Times New Roman" w:hAnsi="Times New Roman"/>
                <w:sz w:val="17"/>
                <w:szCs w:val="17"/>
                <w:color w:val="auto"/>
              </w:rPr>
              <w:t>By:   /s/ Angela C. Drake</w:t>
            </w:r>
          </w:p>
        </w:tc>
      </w:tr>
      <w:tr>
        <w:trPr>
          <w:trHeight w:val="209"/>
        </w:trPr>
        <w:tc>
          <w:tcPr>
            <w:tcW w:w="3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Angela C. Drake</w:t>
            </w:r>
          </w:p>
        </w:tc>
      </w:tr>
      <w:tr>
        <w:trPr>
          <w:trHeight w:val="220"/>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2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6,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6,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quarterly period ended January 31, 2025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6, 2025</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6, 2025</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4"/>
      <w:numFmt w:val="bullet"/>
      <w:start w:val="1"/>
    </w:lvl>
  </w:abstractNum>
  <w:abstractNum w:abstractNumId="8">
    <w:nsid w:val="1BEFD79F"/>
    <w:multiLevelType w:val="hybridMultilevel"/>
    <w:lvl w:ilvl="0">
      <w:lvlJc w:val="left"/>
      <w:lvlText w:val="6"/>
      <w:numFmt w:val="bullet"/>
      <w:start w:val="1"/>
    </w:lvl>
  </w:abstractNum>
  <w:abstractNum w:abstractNumId="9">
    <w:nsid w:val="41A7C4C9"/>
    <w:multiLevelType w:val="hybridMultilevel"/>
    <w:lvl w:ilvl="0">
      <w:lvlJc w:val="left"/>
      <w:lvlText w:val="7"/>
      <w:numFmt w:val="bullet"/>
      <w:start w:val="1"/>
    </w:lvl>
  </w:abstractNum>
  <w:abstractNum w:abstractNumId="10">
    <w:nsid w:val="6B68079A"/>
    <w:multiLevelType w:val="hybridMultilevel"/>
    <w:lvl w:ilvl="0">
      <w:lvlJc w:val="left"/>
      <w:lvlText w:val="8"/>
      <w:numFmt w:val="bullet"/>
      <w:start w:val="1"/>
    </w:lvl>
  </w:abstractNum>
  <w:abstractNum w:abstractNumId="11">
    <w:nsid w:val="4E6AFB66"/>
    <w:multiLevelType w:val="hybridMultilevel"/>
    <w:lvl w:ilvl="0">
      <w:lvlJc w:val="left"/>
      <w:lvlText w:val="9"/>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2"/>
      <w:numFmt w:val="bullet"/>
      <w:start w:val="1"/>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3"/>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51" Type="http://schemas.openxmlformats.org/officeDocument/2006/relationships/hyperlink" Target="https://www.sec.gov/Archives/edgar/data/737758/000073775808000033/form8-k06172008exhibitcert.htm" TargetMode="External"/><Relationship Id="rId52" Type="http://schemas.openxmlformats.org/officeDocument/2006/relationships/hyperlink" Target="https://www.sec.gov/Archives/edgar/data/737758/000119312513105223/d501846dex31.htm" TargetMode="External"/><Relationship Id="rId53" Type="http://schemas.openxmlformats.org/officeDocument/2006/relationships/hyperlink" Target="https://www.sec.gov/Archives/edgar/data/737758/000114036123027141/brhc20053547_3-1.htm" TargetMode="External"/><Relationship Id="rId54" Type="http://schemas.openxmlformats.org/officeDocument/2006/relationships/hyperlink" Target="https://www.sec.gov/Archives/edgar/data/737758/000110465907030051/a07-10570_1ex4d3.htm" TargetMode="External"/><Relationship Id="rId55" Type="http://schemas.openxmlformats.org/officeDocument/2006/relationships/hyperlink" Target="https://www.sec.gov/Archives/edgar/data/737758/000110465907031757/a07-10570_5ex4d1.htm" TargetMode="External"/><Relationship Id="rId56" Type="http://schemas.openxmlformats.org/officeDocument/2006/relationships/hyperlink" Target="https://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2025-03-06T11:36:27Z</dcterms:created>
  <dcterms:modified xsi:type="dcterms:W3CDTF">2025-03-06T11:36:27Z</dcterms:modified>
</cp:coreProperties>
</file>