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May 3, 2024</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May 30, 2024 was 103,874,095.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current global supply chain disruptions, the inflationary environment, current wars and international sanctions and geopolitical tensions, tight labor markets and other macroeconomic factors; our business strategies, priorities, goals, and commitments; acquisitions and any impairment, restructuring, or other charges in connection therewith or resulting therefrom;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adversely affect our operating results and financial condition;</w:t>
      </w:r>
    </w:p>
    <w:p>
      <w:pPr>
        <w:spacing w:after="0" w:line="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businesses and its impact on demand for our products and our working capital;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distribution channel customers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and to address material issues both identified and not uncovered during our due diligence review,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new, expanded or emerging markets, such as the broadband and digital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ind w:left="62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operations or those of our suppliers, distribution channel customers, mass retailers, or home centers where our products are sold;</w:t>
      </w:r>
    </w:p>
    <w:p>
      <w:pPr>
        <w:spacing w:after="0" w:line="28" w:lineRule="exact"/>
        <w:rPr>
          <w:sz w:val="20"/>
          <w:szCs w:val="20"/>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upcoming elections,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a possible U.S. governmental shutdown and its impact on the U.S. economy, capital markets and our business and risks associated with uncertainties related to the 2024 U.S. presidential election;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Amplifying Maximum Productivity (“AMP”) initiative, in the time periods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environmental, health and safety laws and regulations as well as the impact of increased scrutiny on our environmental, social and governance (“ESG”) practices, our ability to meet our ESG company goals, and public perceptions that our products are not environmentally friendly or that our practices are not sustainable.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1,349.0</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1,339.3</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2,350.9</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2,488.2</w:t>
            </w: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896.0</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859.6</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1,553.4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1,612.6</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453.0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479.7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797.5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w:t>
            </w: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265.4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260.9</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521.3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520.4</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187.6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218.8</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276.2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179.2</w:t>
            </w:r>
          </w:p>
        </w:tc>
        <w:tc>
          <w:tcPr>
            <w:tcW w:w="24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210.8</w:t>
            </w:r>
          </w:p>
        </w:tc>
        <w:tc>
          <w:tcPr>
            <w:tcW w:w="26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259.3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34.4</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43.3</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49.6</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5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144.8</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167.5</w:t>
            </w:r>
          </w:p>
        </w:tc>
        <w:tc>
          <w:tcPr>
            <w:tcW w:w="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209.7</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w:t>
            </w: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0"/>
        </w:trPr>
        <w:tc>
          <w:tcPr>
            <w:tcW w:w="5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earnings per share of common stock</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86"/>
        </w:trPr>
        <w:tc>
          <w:tcPr>
            <w:tcW w:w="5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1.59</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86"/>
        </w:trPr>
        <w:tc>
          <w:tcPr>
            <w:tcW w:w="5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104.7</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103"/>
        </w:trPr>
        <w:tc>
          <w:tcPr>
            <w:tcW w:w="5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104.9</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105.6</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104.9</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5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144.8</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209.7</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55"/>
        </w:trPr>
        <w:tc>
          <w:tcPr>
            <w:tcW w:w="49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rPr>
              <w:t>Derivative instruments, net of tax of $0.4; $0.3; $(1.5); and $(5.6),</w:t>
            </w:r>
          </w:p>
        </w:tc>
        <w:tc>
          <w:tcPr>
            <w:tcW w:w="580" w:type="dxa"/>
            <w:vAlign w:val="bottom"/>
          </w:tcPr>
          <w:p>
            <w:pPr>
              <w:spacing w:after="0"/>
              <w:rPr>
                <w:sz w:val="13"/>
                <w:szCs w:val="13"/>
                <w:color w:val="auto"/>
              </w:rPr>
            </w:pPr>
          </w:p>
        </w:tc>
        <w:tc>
          <w:tcPr>
            <w:tcW w:w="12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3"/>
                <w:szCs w:val="13"/>
                <w:color w:val="auto"/>
              </w:rPr>
            </w:pPr>
          </w:p>
        </w:tc>
        <w:tc>
          <w:tcPr>
            <w:tcW w:w="12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144.0</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210.9</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0" w:type="dxa"/>
            <w:vAlign w:val="bottom"/>
          </w:tcPr>
          <w:p>
            <w:pPr>
              <w:spacing w:after="0"/>
              <w:rPr>
                <w:sz w:val="1"/>
                <w:szCs w:val="1"/>
                <w:color w:val="auto"/>
              </w:rPr>
            </w:pP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188.8</w:t>
            </w:r>
          </w:p>
        </w:tc>
        <w:tc>
          <w:tcPr>
            <w:tcW w:w="3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623.1</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462.0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1,105.0</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1,127.5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102.3</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86.0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2,019.2</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1,826.8</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1,798.8</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637.8</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605.8</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450.7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584.6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522.7</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568.4</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117.3</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71.9</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51.7</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31.0</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21.8</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3,852.2</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3,741.4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tcBorders>
              <w:top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512.4</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514.8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503.2</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493.3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1,048.7</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1,024.0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1,003.3</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1,041.2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18.5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320" w:type="dxa"/>
            <w:vAlign w:val="bottom"/>
          </w:tcPr>
          <w:p>
            <w:pPr>
              <w:spacing w:after="0"/>
              <w:rPr>
                <w:sz w:val="13"/>
                <w:szCs w:val="13"/>
                <w:color w:val="auto"/>
              </w:rPr>
            </w:pPr>
          </w:p>
        </w:tc>
        <w:tc>
          <w:tcPr>
            <w:tcW w:w="144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144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103,974,051 shares as of May 3, 2024, 104,135,643 shares as of May 5,</w:t>
            </w:r>
          </w:p>
        </w:tc>
        <w:tc>
          <w:tcPr>
            <w:tcW w:w="32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3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104.1</w:t>
            </w:r>
          </w:p>
        </w:tc>
        <w:tc>
          <w:tcPr>
            <w:tcW w:w="2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 and 103,843,485 shares as of October 31, 2023</w:t>
            </w: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1,485.1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1,651.4</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1,560.0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3,852.2</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3,741.4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209.7</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w:t>
            </w: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(contributions to) finance affiliate, net</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48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43.4</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17.5</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8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8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81.0</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20"/>
        </w:trPr>
        <w:tc>
          <w:tcPr>
            <w:tcW w:w="6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135.1</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86"/>
        </w:trPr>
        <w:tc>
          <w:tcPr>
            <w:tcW w:w="66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21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148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7"/>
        </w:trPr>
        <w:tc>
          <w:tcPr>
            <w:tcW w:w="6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Proceeds from divestitures</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86"/>
        </w:trPr>
        <w:tc>
          <w:tcPr>
            <w:tcW w:w="66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0"/>
        </w:trPr>
        <w:tc>
          <w:tcPr>
            <w:tcW w:w="664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Net (repayments) borrowings under the revolving credit facility</w:t>
            </w:r>
            <w:r>
              <w:rPr>
                <w:rFonts w:ascii="Times New Roman" w:cs="Times New Roman" w:eastAsia="Times New Roman" w:hAnsi="Times New Roman"/>
                <w:sz w:val="21"/>
                <w:szCs w:val="21"/>
                <w:color w:val="auto"/>
                <w:vertAlign w:val="superscript"/>
              </w:rPr>
              <w:t>1</w:t>
            </w:r>
          </w:p>
        </w:tc>
        <w:tc>
          <w:tcPr>
            <w:tcW w:w="1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2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TTC common stock</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on TTC common stock</w:t>
            </w:r>
          </w:p>
        </w:tc>
        <w:tc>
          <w:tcPr>
            <w:tcW w:w="1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20"/>
        </w:trPr>
        <w:tc>
          <w:tcPr>
            <w:tcW w:w="6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86"/>
        </w:trPr>
        <w:tc>
          <w:tcPr>
            <w:tcW w:w="66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217"/>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86"/>
        </w:trPr>
        <w:tc>
          <w:tcPr>
            <w:tcW w:w="66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217"/>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3"/>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193.1</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1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188.8</w:t>
            </w:r>
          </w:p>
        </w:tc>
        <w:tc>
          <w:tcPr>
            <w:tcW w:w="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2"/>
        </w:trPr>
        <w:tc>
          <w:tcPr>
            <w:tcW w:w="6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40" w:hanging="159"/>
        <w:spacing w:after="0" w:line="227" w:lineRule="auto"/>
        <w:tabs>
          <w:tab w:leader="none" w:pos="266"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5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3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1,478.9</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$0.36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75,784 shares of common stock under stock-based compensation</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6.9</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115,274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144.8</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103.8</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1,444.1</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$0.72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323,921 shares of common stock under stock-based</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plans, less contribution of 54,526 shares of common stock to a</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trust</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15.3</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138,829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209.7</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1,368.5</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$0.34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83,432 shares of common stock under stock-based compensation</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230,791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167.5</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5, 2023</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104.1</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1,485.1</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1,280.8</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$0.68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434,464 shares of common stock under stock-based</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plans, less contribution of 14,270 shares of common stock to a</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17.2</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trust</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254,356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274.3</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5, 2023</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104.1</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1,485.1</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3, 2024</w:t>
      </w:r>
    </w:p>
    <w:p>
      <w:pPr>
        <w:spacing w:after="0" w:line="332"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six months ended May 3, 2024 cannot be annualized to determine the expected results for the fiscal year ending October 31, 2024.</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2023.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guidance will become effective for the company's fiscal 2025 annual period, and interim periods beginning with the first quarter of fiscal 2026. The company is currently evaluating the impact of this new standard on its Condensed Consolidated Financial Statements and related disclosures.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Condensed Consolidated Financial Statements. For additional information regarding the company's supplier finance program,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3, 2024</w:t>
            </w:r>
          </w:p>
        </w:tc>
        <w:tc>
          <w:tcPr>
            <w:tcW w:w="15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7.8</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4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86"/>
        </w:trPr>
        <w:tc>
          <w:tcPr>
            <w:tcW w:w="39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3, 2024</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00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13.1</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(103.8)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r>
      <w:tr>
        <w:trPr>
          <w:trHeight w:val="21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2,768.4</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414.5</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3,852.2</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5, 2023</w:t>
            </w:r>
          </w:p>
        </w:tc>
        <w:tc>
          <w:tcPr>
            <w:tcW w:w="15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4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86"/>
        </w:trPr>
        <w:tc>
          <w:tcPr>
            <w:tcW w:w="39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5, 2023</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1,949.4</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8.3</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2,488.2</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r>
      <w:tr>
        <w:trPr>
          <w:trHeight w:val="21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2,820.3</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352.4</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3,741.4</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280" w:type="dxa"/>
            <w:vAlign w:val="bottom"/>
          </w:tcPr>
          <w:p>
            <w:pPr>
              <w:jc w:val="center"/>
              <w:ind w:left="638"/>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Pr>
          <w:p>
            <w:pPr>
              <w:spacing w:after="0"/>
              <w:rPr>
                <w:sz w:val="18"/>
                <w:szCs w:val="18"/>
                <w:color w:val="auto"/>
              </w:rPr>
            </w:pPr>
          </w:p>
        </w:tc>
        <w:tc>
          <w:tcPr>
            <w:tcW w:w="1220" w:type="dxa"/>
            <w:vAlign w:val="bottom"/>
          </w:tcPr>
          <w:p>
            <w:pPr>
              <w:jc w:val="center"/>
              <w:ind w:left="698"/>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62"/>
        </w:trPr>
        <w:tc>
          <w:tcPr>
            <w:tcW w:w="5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from the company's wholly-owned domestic distribution company</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w w:val="99"/>
              </w:rPr>
              <w:t>11.6</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15.5</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3, 2024</w:t>
            </w:r>
          </w:p>
        </w:tc>
        <w:tc>
          <w:tcPr>
            <w:tcW w:w="16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880.5</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1,216.5</w:t>
            </w:r>
          </w:p>
        </w:tc>
      </w:tr>
      <w:tr>
        <w:trPr>
          <w:trHeight w:val="220"/>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21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r>
      <w:tr>
        <w:trPr>
          <w:trHeight w:val="220"/>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r>
      <w:tr>
        <w:trPr>
          <w:trHeight w:val="21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3, 2024</w:t>
            </w:r>
          </w:p>
        </w:tc>
        <w:tc>
          <w:tcPr>
            <w:tcW w:w="17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20"/>
        </w:trPr>
        <w:tc>
          <w:tcPr>
            <w:tcW w:w="3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r>
      <w:tr>
        <w:trPr>
          <w:trHeight w:val="21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7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1,360.8</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08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1,877.7</w:t>
            </w:r>
          </w:p>
        </w:tc>
      </w:tr>
      <w:tr>
        <w:trPr>
          <w:trHeight w:val="220"/>
        </w:trPr>
        <w:tc>
          <w:tcPr>
            <w:tcW w:w="3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21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08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5, 2023</w:t>
            </w:r>
          </w:p>
        </w:tc>
        <w:tc>
          <w:tcPr>
            <w:tcW w:w="16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1,195.5</w:t>
            </w:r>
          </w:p>
        </w:tc>
      </w:tr>
      <w:tr>
        <w:trPr>
          <w:trHeight w:val="220"/>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r>
      <w:tr>
        <w:trPr>
          <w:trHeight w:val="21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1,339.3</w:t>
            </w: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w:t>
            </w:r>
          </w:p>
        </w:tc>
      </w:tr>
      <w:tr>
        <w:trPr>
          <w:trHeight w:val="220"/>
        </w:trPr>
        <w:tc>
          <w:tcPr>
            <w:tcW w:w="3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r>
      <w:tr>
        <w:trPr>
          <w:trHeight w:val="21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1,339.3</w:t>
            </w: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5, 2023</w:t>
            </w:r>
          </w:p>
        </w:tc>
        <w:tc>
          <w:tcPr>
            <w:tcW w:w="17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2,229.7</w:t>
            </w:r>
          </w:p>
        </w:tc>
      </w:tr>
      <w:tr>
        <w:trPr>
          <w:trHeight w:val="220"/>
        </w:trPr>
        <w:tc>
          <w:tcPr>
            <w:tcW w:w="3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r>
      <w:tr>
        <w:trPr>
          <w:trHeight w:val="21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1,949.4</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2,488.2</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37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1,966.5</w:t>
            </w:r>
          </w:p>
        </w:tc>
      </w:tr>
      <w:tr>
        <w:trPr>
          <w:trHeight w:val="220"/>
        </w:trPr>
        <w:tc>
          <w:tcPr>
            <w:tcW w:w="3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w:t>
            </w:r>
          </w:p>
        </w:tc>
      </w:tr>
      <w:tr>
        <w:trPr>
          <w:trHeight w:val="21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1,949.4</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2,488.2</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May 3, 2024 and October 31, 2023, $27.3 million and $25.6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May 3, 2024, the company recognized $3.8 million and $7.2 million, respectively, of the October 31, 2023 deferred revenue balance within net sales in the Condensed Consolidated Statements of Earnings. The company expects to recognize approximately $4.8 million of the October 31, 2023 deferred revenue amount within net sales throughout the remainder of fiscal 2024, $7.8 million in fiscal 2025, and $5.8 million thereafter.</w:t>
      </w:r>
    </w:p>
    <w:p>
      <w:pPr>
        <w:spacing w:after="0" w:line="102"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six months of fiscal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1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440.5</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12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Divestitures</w:t>
            </w:r>
          </w:p>
        </w:tc>
        <w:tc>
          <w:tcPr>
            <w:tcW w:w="17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2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7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1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440.3</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May 3, 2024, May 5, 2023, and October 31, 2023 were as follows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and six months ended May 3, 2024 was $8.8 million and $17.5 million, respectively. Amortization expense for finite-lived intangibles assets for the three and six months ended May 5, 2023 was $8.8 million and $17.9 million, respectively. As of May 3, 2024, estimated amortization expense for the remainder of fiscal 2024 and succeeding fiscal years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8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2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8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5</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5140" w:type="dxa"/>
            <w:vAlign w:val="bottom"/>
            <w:tcBorders>
              <w:bottom w:val="single" w:sz="8" w:color="auto"/>
            </w:tcBorders>
            <w:gridSpan w:val="2"/>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1,016.8</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1,041.2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1,003.3</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May 3, 2024, principal payments required on the company's outstanding indebtedness, based on the maturity dates defined within the company's debt arrangements, for the remainder of fiscal 2024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9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9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in compliance with all covenants under the company’s outstanding indebtedness as of May 3, 2024.</w:t>
      </w:r>
    </w:p>
    <w:p>
      <w:pPr>
        <w:spacing w:after="0" w:line="142"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1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r>
      <w:tr>
        <w:trPr>
          <w:trHeight w:val="21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844.6</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844.2</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1,297.4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r>
      <w:tr>
        <w:trPr>
          <w:trHeight w:val="21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169.9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38"/>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1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1,127.5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328.3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567.2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2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227.0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0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199.9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1,490.0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942.8</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884.2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899.3</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605.8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3,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142.4</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143.9</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70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26.1</w:t>
            </w:r>
          </w:p>
        </w:tc>
        <w:tc>
          <w:tcPr>
            <w:tcW w:w="24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40.4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8"/>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151.4</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151.4</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3"/>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Investment in Joint Venture</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May 3, 2024, May 5, 2023 and October 31, 2023 was $51.7 million, $53.2 million, and $50.6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174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3.3</w:t>
            </w:r>
          </w:p>
        </w:tc>
        <w:tc>
          <w:tcPr>
            <w:tcW w:w="122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1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1.5</w:t>
            </w: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w:t>
            </w:r>
          </w:p>
        </w:tc>
        <w:tc>
          <w:tcPr>
            <w:tcW w:w="26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2.1</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1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17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6.9</w:t>
            </w:r>
          </w:p>
        </w:tc>
        <w:tc>
          <w:tcPr>
            <w:tcW w:w="12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will not be forfeited but continue to vest according to their schedule following retirement. Therefore, the fair value of the options granted is fully expensed on the date of the grant.</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six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spacing w:after="0"/>
              <w:rPr>
                <w:sz w:val="20"/>
                <w:szCs w:val="20"/>
                <w:color w:val="auto"/>
              </w:rPr>
            </w:pPr>
          </w:p>
        </w:tc>
        <w:tc>
          <w:tcPr>
            <w:tcW w:w="3640" w:type="dxa"/>
            <w:vAlign w:val="bottom"/>
            <w:tcBorders>
              <w:top w:val="single" w:sz="8" w:color="auto"/>
              <w:bottom w:val="single" w:sz="8" w:color="auto"/>
            </w:tcBorders>
          </w:tcPr>
          <w:p>
            <w:pPr>
              <w:ind w:left="238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Fiscal 2023</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640" w:type="dxa"/>
            <w:vAlign w:val="bottom"/>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6.37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6.32</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640" w:type="dxa"/>
            <w:vAlign w:val="bottom"/>
          </w:tcPr>
          <w:p>
            <w:pPr>
              <w:jc w:val="center"/>
              <w:ind w:left="1818"/>
              <w:spacing w:after="0"/>
              <w:rPr>
                <w:sz w:val="20"/>
                <w:szCs w:val="20"/>
                <w:color w:val="auto"/>
              </w:rPr>
            </w:pPr>
            <w:r>
              <w:rPr>
                <w:rFonts w:ascii="Times New Roman" w:cs="Times New Roman" w:eastAsia="Times New Roman" w:hAnsi="Times New Roman"/>
                <w:sz w:val="16"/>
                <w:szCs w:val="16"/>
                <w:color w:val="auto"/>
              </w:rPr>
              <w:t>26.75%</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25.20%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640" w:type="dxa"/>
            <w:vAlign w:val="bottom"/>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3.94%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3.79%</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640" w:type="dxa"/>
            <w:vAlign w:val="bottom"/>
          </w:tcPr>
          <w:p>
            <w:pPr>
              <w:jc w:val="center"/>
              <w:ind w:left="1818"/>
              <w:spacing w:after="0"/>
              <w:rPr>
                <w:sz w:val="20"/>
                <w:szCs w:val="20"/>
                <w:color w:val="auto"/>
              </w:rPr>
            </w:pPr>
            <w:r>
              <w:rPr>
                <w:rFonts w:ascii="Times New Roman" w:cs="Times New Roman" w:eastAsia="Times New Roman" w:hAnsi="Times New Roman"/>
                <w:sz w:val="16"/>
                <w:szCs w:val="16"/>
                <w:color w:val="auto"/>
              </w:rPr>
              <w:t>1.15%</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0.95%</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640" w:type="dxa"/>
            <w:vAlign w:val="bottom"/>
            <w:tcBorders>
              <w:bottom w:val="single" w:sz="8" w:color="auto"/>
            </w:tcBorders>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$30.40</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$33.22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2024 and 2023 was $99.60 and $112.14, respectively. No performance share awards were granted during the second quarter of fiscal 2024 and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six months of fiscal 2024 and 2023 was $97.99 and $109.83,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first six months of fiscal 2024 and 2023, 7,544 and 10,329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quarter of fiscal 2024 and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36.4</w:t>
            </w:r>
          </w:p>
        </w:tc>
        <w:tc>
          <w:tcPr>
            <w:tcW w:w="3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86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8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
        </w:trPr>
        <w:tc>
          <w:tcPr>
            <w:tcW w:w="4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and six month periods ended May 3, 2024 and May 5, 2023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3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84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41.7</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30.1</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84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5,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32.3</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51.3</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24.7</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5,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32.3</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15,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60" w:type="dxa"/>
            <w:vAlign w:val="bottom"/>
            <w:tcBorders>
              <w:bottom w:val="single" w:sz="8" w:color="auto"/>
            </w:tcBorders>
            <w:gridSpan w:val="2"/>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15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5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15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i w:val="1"/>
                <w:iCs w:val="1"/>
                <w:color w:val="auto"/>
                <w:w w:val="99"/>
              </w:rPr>
              <w:t>Diluted</w:t>
            </w:r>
          </w:p>
        </w:tc>
        <w:tc>
          <w:tcPr>
            <w:tcW w:w="47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5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104.4</w:t>
            </w: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104.7</w:t>
            </w:r>
          </w:p>
        </w:tc>
        <w:tc>
          <w:tcPr>
            <w:tcW w:w="15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104.4</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5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15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0.5</w:t>
            </w:r>
          </w:p>
        </w:tc>
        <w:tc>
          <w:tcPr>
            <w:tcW w:w="15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0.9</w:t>
            </w:r>
          </w:p>
        </w:tc>
        <w:tc>
          <w:tcPr>
            <w:tcW w:w="15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0.5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5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104.9</w:t>
            </w:r>
          </w:p>
        </w:tc>
        <w:tc>
          <w:tcPr>
            <w:tcW w:w="1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105.6</w:t>
            </w:r>
          </w:p>
        </w:tc>
        <w:tc>
          <w:tcPr>
            <w:tcW w:w="15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104.9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1,825,586 and 504,057 shares of common stock during the second quarter of fiscal 2024 and 2023, respectively, and to purchase 1,697,100 and 385,105 shares of common stock during the first six months of fiscal 2024 and 2023, respectively, were excluded from the computation of diluted net earnings per share of common stock because they were anti-dilutive.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six months ended May 3, 2024 and May 5, 2023 were $1,165.7 million and $1,470.1 million, respectively. The total amount of net receivables outstanding under this arrangement with Red Iron as of May 3, 2024, May 5, 2023, and October 31, 2023 were $1,020.9 million, $1,095.8 million and $1,019.0 million, respectively. The total amount of receivables due from Red Iron to the company as of May 3, 2024, May 5, 2023, and October 31, 2023 were $35.1 million, $34.7 million and $34.4 million, respectively.</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six months ended May 3, 2024 and May 5, 2023 were $303.9 million and $247.5 million, respectively. As of May 3, 2024, May 5, 2023, and October 31, 2023, $190.6 million, $194.2 million and $234.7 million, respectively, of receivables financed by HCFC and the other third-party financial institutions were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May 3, 2024, May 5, 2023 and October 31, 2023, the company was contingently liable to repurchase up to a maximum amount of $30.3 million, $111.1 million, and $32.2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six months ended May 3, 2024 and May 5,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May 3, 2024, May 5, 2023 and October 31, 2023, $213.2 million, $278.8 million, and $99.6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2"/>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2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18.6</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20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6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2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20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2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20.8</w:t>
            </w:r>
          </w:p>
        </w:tc>
        <w:tc>
          <w:tcPr>
            <w:tcW w:w="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5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5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13.9</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8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74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9.1</w:t>
            </w:r>
          </w:p>
        </w:tc>
        <w:tc>
          <w:tcPr>
            <w:tcW w:w="17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4.90 %</w:t>
            </w:r>
          </w:p>
        </w:tc>
        <w:tc>
          <w:tcPr>
            <w:tcW w:w="17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3.65 %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May 3,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4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7"/>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17"/>
        </w:trPr>
        <w:tc>
          <w:tcPr>
            <w:tcW w:w="6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38"/>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4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1020"/>
        <w:spacing w:after="0" w:line="380" w:lineRule="auto"/>
        <w:rPr>
          <w:sz w:val="20"/>
          <w:szCs w:val="20"/>
          <w:color w:val="auto"/>
        </w:rPr>
      </w:pPr>
      <w:r>
        <w:rPr>
          <w:rFonts w:ascii="Times New Roman" w:cs="Times New Roman" w:eastAsia="Times New Roman" w:hAnsi="Times New Roman"/>
          <w:sz w:val="17"/>
          <w:szCs w:val="17"/>
          <w:color w:val="auto"/>
        </w:rPr>
        <w:t xml:space="preserve">As of May 3, 2024, the notional amount outstanding of forward currency contracts designated as cash flow hedging instruments was $363.6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
        </w:trPr>
        <w:tc>
          <w:tcPr>
            <w:tcW w:w="5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The company records the fair value of its derivative instruments at the net amount on its Condensed Consolidated Balance Sheets.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7"/>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7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3, 2024 and May 5,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center"/>
              <w:ind w:right="2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55"/>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Gain Reclassified from AOCL into</w:t>
            </w:r>
          </w:p>
        </w:tc>
        <w:tc>
          <w:tcPr>
            <w:tcW w:w="260" w:type="dxa"/>
            <w:vAlign w:val="bottom"/>
          </w:tcPr>
          <w:p>
            <w:pPr>
              <w:spacing w:after="0"/>
              <w:rPr>
                <w:sz w:val="13"/>
                <w:szCs w:val="13"/>
                <w:color w:val="auto"/>
              </w:rPr>
            </w:pPr>
          </w:p>
        </w:tc>
        <w:tc>
          <w:tcPr>
            <w:tcW w:w="274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Gain (Loss) Recognized in OCI on</w:t>
            </w:r>
          </w:p>
        </w:tc>
      </w:tr>
      <w:tr>
        <w:trPr>
          <w:trHeight w:val="219"/>
        </w:trPr>
        <w:tc>
          <w:tcPr>
            <w:tcW w:w="5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97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center"/>
              <w:ind w:left="758"/>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7"/>
              </w:rPr>
              <w:t>(0.3)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6"/>
                <w:szCs w:val="16"/>
                <w:color w:val="auto"/>
                <w:w w:val="99"/>
              </w:rPr>
              <w:t>1.2</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97"/>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right="23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5"/>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Gain Reclassified from AOCL into</w:t>
            </w:r>
          </w:p>
        </w:tc>
        <w:tc>
          <w:tcPr>
            <w:tcW w:w="260" w:type="dxa"/>
            <w:vAlign w:val="bottom"/>
          </w:tcPr>
          <w:p>
            <w:pPr>
              <w:spacing w:after="0"/>
              <w:rPr>
                <w:sz w:val="13"/>
                <w:szCs w:val="13"/>
                <w:color w:val="auto"/>
              </w:rPr>
            </w:pPr>
          </w:p>
        </w:tc>
        <w:tc>
          <w:tcPr>
            <w:tcW w:w="274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Recognized in OCI on</w:t>
            </w:r>
          </w:p>
        </w:tc>
      </w:tr>
      <w:tr>
        <w:trPr>
          <w:trHeight w:val="219"/>
        </w:trPr>
        <w:tc>
          <w:tcPr>
            <w:tcW w:w="5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97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7"/>
              </w:rPr>
              <w:t>(4.2)</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758"/>
              <w:spacing w:after="0"/>
              <w:rPr>
                <w:sz w:val="20"/>
                <w:szCs w:val="20"/>
                <w:color w:val="auto"/>
              </w:rPr>
            </w:pPr>
            <w:r>
              <w:rPr>
                <w:rFonts w:ascii="Times New Roman" w:cs="Times New Roman" w:eastAsia="Times New Roman" w:hAnsi="Times New Roman"/>
                <w:sz w:val="16"/>
                <w:szCs w:val="16"/>
                <w:color w:val="auto"/>
                <w:w w:val="99"/>
              </w:rPr>
              <w:t>0.1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7"/>
              </w:rPr>
              <w:t>(4.1)</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second quarter and first six months of fiscal 2024 and fiscal 2023, respectively, due to the discontinuance of cash flow hedge accounting on certain forward currency contracts designated as cash flow hedging instruments. As of May 3, 2024, the company expects to reclassify approximately $4.2 million of gains from AOCL to earnings during the next twelve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7"/>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Gain Recognized in Earnings on Cash Flow Hedging Instruments</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9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 amounts</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1,349.0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1,339.3</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which the effects of cash flow hedging instruments are recorded</w:t>
            </w:r>
          </w:p>
        </w:tc>
        <w:tc>
          <w:tcPr>
            <w:tcW w:w="2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on derivatives designated as cash flow hedging instruments: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24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gridSpan w:val="7"/>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Gain Recognized in Earnings on Cash Flow Hedging Instruments</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9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49"/>
        </w:trPr>
        <w:tc>
          <w:tcPr>
            <w:tcW w:w="5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color w:val="auto"/>
              </w:rPr>
              <w:t>Condensed Consolidated Statements of (Loss) Earnings income (expense)</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2,350.9</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2,488.2</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(1,612.6)</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 recorded</w:t>
            </w: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on derivatives designated as cash flow hedging instruments: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5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gain on derivatives not designated as cash flow hedging instruments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(loss) income, net</w:t>
            </w:r>
          </w:p>
        </w:tc>
        <w:tc>
          <w:tcPr>
            <w:tcW w:w="3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55"/>
        </w:trPr>
        <w:tc>
          <w:tcPr>
            <w:tcW w:w="51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Total (loss) gain on derivatives not designated as cash flow hedging</w:t>
            </w:r>
          </w:p>
        </w:tc>
        <w:tc>
          <w:tcPr>
            <w:tcW w:w="3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3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May 3, 2024, May 5, 2023, and October 31, 2023,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57150</wp:posOffset>
            </wp:positionV>
            <wp:extent cx="3019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spacing w:after="0" w:line="7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12.0</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147955</wp:posOffset>
            </wp:positionV>
            <wp:extent cx="30194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131445</wp:posOffset>
            </wp:positionV>
            <wp:extent cx="30194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spacing w:after="0" w:line="18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their fair values due to their short-term nature. As of May 3, 2024, May 5, 2023, and October 31, 2023, the company's long-term debt included $524.2 million, $524.1 million, and $524.2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May 3, 2024, the estimated gross fair value of long-term debt with fixed interest rates was $509.9 million compared to its gross carrying amount of $524.2 million. As of May 5, 2023, the estimated gross fair value of long-term debt with fixed interest rates was $515.0 million compared to its gross carrying amount of $524.1 million. As of October 31, 2023, the estimated gross fair value of long-term debt with fixed interest rates was $478.2 million compared to its gross carrying amount of $524.2 million. For additional information regarding long-term debt with fixed interest rates, refer to Note 5, </w:t>
      </w:r>
      <w:r>
        <w:rPr>
          <w:rFonts w:ascii="Times New Roman" w:cs="Times New Roman" w:eastAsia="Times New Roman" w:hAnsi="Times New Roman"/>
          <w:sz w:val="17"/>
          <w:szCs w:val="17"/>
          <w:i w:val="1"/>
          <w:iCs w:val="1"/>
          <w:color w:val="auto"/>
        </w:rPr>
        <w:t>Indebtedness.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2023.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Productivity Initiative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first quarter of fiscal 2024, we announced our AMP initiative, which is a multi-year initiative intended to result in annualized cost savings of at least $100 million by fiscal 2027, driven by sustainable supply-base, design-to-value, and route-to-market transformation. We intend to reinvest a portion of the savings from this initiative to further accelerate innovation and long-term growth.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Consolidated net sales for the second quarter of fiscal 2024 were $1,349.0 million, up 0.7 percent compared to $1,339.3 million in the second quarter of fiscal 2023. For the first six months of fiscal 2024, consolidated net sales were $2,350.9 million, down 5.5 percent compared to $2,488.2 million from the same period in the prior fiscal year.</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Professional segment net sales for the second quarter of fiscal 2024 were $1,005.6 million, a decrease of 5.9 percent compared to $1,068.7 million in the second quarter of the prior fiscal year. For the first six months of fiscal 2024, Professional segment net sales were $1,762.1 million, a decrease of 9.6 percent compared to $1,949.4 million in the prior fiscal year comparable period.</w:t>
      </w:r>
    </w:p>
    <w:p>
      <w:pPr>
        <w:spacing w:after="0" w:line="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Residential segment net sales for the second quarter of fiscal 2024 were $335.6 million, an increase of 26.3 percent compared to $265.8 million in the second quarter of the prior fiscal year. For the first six months of fiscal 2024, Residential segment net sales were $575.7 million, an increase of 8.5 percent compared to $530.5 million in the prior fiscal year comparable period.</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second quarter of fiscal 2024 were $144.8 million, or $1.38 per diluted share, compared to net earnings of $167.5 million, or $1.59 per diluted share, for the second quarter of fiscal 2023. Net earnings for the first six months of fiscal 2024 were $209.7 million, or $2.00 per diluted share, compared to $274.3 million, or $2.60 per diluted share, in the comparable fiscal 2023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net earnings for the second quarter of fiscal 2024 were $147.3 million, or $1.40 per diluted share, compared to $166.4 million, or $1.58 per diluted share, for the second quarter of fiscal 2023. Adjusted net earnings for the first six months of fiscal 2024 were $213.8 million, or $2.04 per diluted share, compared to $270.0 million, or $2.56 per diluted share, in the comparable fiscal 2023 period.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second quarter of fiscal 2024 by 5.9 percent to $0.36 per share compared to $0.34 per share paid in the second quarter of fiscal 2023. We also repurchased shares of our common stock under our Board authorized repurchase program, thereby reducing our total shares outstanding. As a result of the combination of quarterly cash dividends and share repurchases, we returned $85.1 million of cash to our shareholders during the first six months of fiscal 2024.</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Field inventory levels were slightly lower as of the end of the second quarter of fiscal 2024 compared to the end of the second quarter of fiscal 2023, primarily driven by significant reductions of dealer field inventories of lawn care equipment in both the Residential and Professional segments, partially offset by increases from a strong spring sell-in to our mass channel partners.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lower as of the end of the second quarter of fiscal 2024 compared to the end of the fourth quarter of fiscal 2023 primarily due to improved manufacturing output. Our order backlog remains significantly elevated over what the company would consider normal, due to demand for underground and specialty construction and golf and grounds products continuing to outpace production of such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Consolidated net sales for the second quarter of fiscal 2024 were $1,349.0 million, up 0.7 percent compared to $1,339.3 million in the second quarter of fiscal 2023. This increase was primarily driven by higher shipments of Residential segment products, partially offset by lower shipments of Professional segment products. For the year-to-date period of fiscal 2024, consolidated net sales were $2,350.9 million, down 5.5 percent compared to $2,488.2 million from the same period in the prior fiscal year. This decrease was primarily driven by lower shipments of Professional segment products, partially offset by higher shipments of Residential segment products.</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in international markets decreased by $8.2 million and $48.5 million for the second quarter and year-to-date periods of fiscal 2024, respectively. The decrease for the second quarter comparison was primarily due to lower shipments of Residential segment products. The decrease for the year-to-date comparison was primarily due to lower shipments of both Residential and Professional segment products.</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Changes in foreign currency exchange rates resulted in a decrease in our net sales of approximately $7.6 million and $6.8 million for the second quarter and year-to-date periods of fiscal 2024,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80" w:type="dxa"/>
            <w:vAlign w:val="bottom"/>
            <w:tcBorders>
              <w:bottom w:val="single" w:sz="8" w:color="auto"/>
            </w:tcBorders>
            <w:gridSpan w:val="2"/>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0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5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16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3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100.0 %</w:t>
            </w:r>
          </w:p>
        </w:tc>
        <w:tc>
          <w:tcPr>
            <w:tcW w:w="15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100.0 %</w:t>
            </w:r>
          </w:p>
        </w:tc>
        <w:tc>
          <w:tcPr>
            <w:tcW w:w="16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100.0 %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rPr>
              <w:t>(66.4)</w:t>
            </w:r>
          </w:p>
        </w:tc>
        <w:tc>
          <w:tcPr>
            <w:tcW w:w="15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(64.2)</w:t>
            </w:r>
          </w:p>
        </w:tc>
        <w:tc>
          <w:tcPr>
            <w:tcW w:w="16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rPr>
              <w:t>(66.1)</w:t>
            </w:r>
          </w:p>
        </w:tc>
        <w:tc>
          <w:tcPr>
            <w:tcW w:w="13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(64.8)</w:t>
            </w: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33.6</w:t>
            </w:r>
          </w:p>
        </w:tc>
        <w:tc>
          <w:tcPr>
            <w:tcW w:w="15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35.8</w:t>
            </w:r>
          </w:p>
        </w:tc>
        <w:tc>
          <w:tcPr>
            <w:tcW w:w="16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33.9</w:t>
            </w: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35.2</w:t>
            </w:r>
          </w:p>
        </w:tc>
      </w:tr>
      <w:tr>
        <w:trPr>
          <w:trHeight w:val="21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rPr>
              <w:t>(19.7)</w:t>
            </w:r>
          </w:p>
        </w:tc>
        <w:tc>
          <w:tcPr>
            <w:tcW w:w="15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(19.5)</w:t>
            </w:r>
          </w:p>
        </w:tc>
        <w:tc>
          <w:tcPr>
            <w:tcW w:w="16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rPr>
              <w:t>(22.2)</w:t>
            </w:r>
          </w:p>
        </w:tc>
        <w:tc>
          <w:tcPr>
            <w:tcW w:w="13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(20.9)</w:t>
            </w: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6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13.9</w:t>
            </w:r>
          </w:p>
        </w:tc>
        <w:tc>
          <w:tcPr>
            <w:tcW w:w="15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16.3</w:t>
            </w:r>
          </w:p>
        </w:tc>
        <w:tc>
          <w:tcPr>
            <w:tcW w:w="16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11.7</w:t>
            </w: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14.3</w:t>
            </w: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(1.1)</w:t>
            </w:r>
          </w:p>
        </w:tc>
        <w:tc>
          <w:tcPr>
            <w:tcW w:w="16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(1.4)</w:t>
            </w:r>
          </w:p>
        </w:tc>
        <w:tc>
          <w:tcPr>
            <w:tcW w:w="13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(1.2)</w:t>
            </w:r>
          </w:p>
        </w:tc>
      </w:tr>
      <w:tr>
        <w:trPr>
          <w:trHeight w:val="22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0.6</w:t>
            </w:r>
          </w:p>
        </w:tc>
        <w:tc>
          <w:tcPr>
            <w:tcW w:w="158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0.5</w:t>
            </w:r>
          </w:p>
        </w:tc>
        <w:tc>
          <w:tcPr>
            <w:tcW w:w="160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0.7</w:t>
            </w: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0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13.3</w:t>
            </w:r>
          </w:p>
        </w:tc>
        <w:tc>
          <w:tcPr>
            <w:tcW w:w="15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15.7</w:t>
            </w:r>
          </w:p>
        </w:tc>
        <w:tc>
          <w:tcPr>
            <w:tcW w:w="160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11.0</w:t>
            </w: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13.8</w:t>
            </w:r>
          </w:p>
        </w:tc>
      </w:tr>
      <w:tr>
        <w:trPr>
          <w:trHeight w:val="22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(2.6)</w:t>
            </w:r>
          </w:p>
        </w:tc>
        <w:tc>
          <w:tcPr>
            <w:tcW w:w="15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(3.2)</w:t>
            </w:r>
          </w:p>
        </w:tc>
        <w:tc>
          <w:tcPr>
            <w:tcW w:w="160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(2.1)</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4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10.7 %</w:t>
            </w:r>
          </w:p>
        </w:tc>
        <w:tc>
          <w:tcPr>
            <w:tcW w:w="15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12.5 %</w:t>
            </w:r>
          </w:p>
        </w:tc>
        <w:tc>
          <w:tcPr>
            <w:tcW w:w="1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8.9 %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2"/>
        </w:trPr>
        <w:tc>
          <w:tcPr>
            <w:tcW w:w="40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Gross profit for the second quarter of fiscal 2024 was $453.0 million, down 5.6 percent compared to $479.7 million for the second quarter of fiscal 2023. Gross margin was 33.6 percent for the second quarter of fiscal 2024 compared to 35.8 percent for the second quarter of fiscal 2023, a decrease of 220 basis points. Gross profit for the year-to-date period of fiscal 2024 was $797.5 million, down 8.9 percent compared to $875.6 million for the same period of fiscal 2023. Gross margin was 33.9% for the year-to-date period of fiscal 2024 compared to 35.2% for the prior year comparable period, a decrease of 130 basis points. The decrease in gross margin for both the second quarter and year-to-date periods of fiscal 2024 was primarily due to product mix and higher material and manufacturing costs, partially offset by productivity improvements.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SG&amp;A expense increased $4.5 million, or 1.7 percent, for the second quarter of fiscal 2024 and increased $0.9 million, or 0.2 percent, for the year-to-date period of fiscal 2024 compared to the same respective periods of fiscal 2023. As a percentage of net sales, SG&amp;A expense increased 20 basis points and 130 basis points for the second quarter and year-to-date periods of fiscal 2024, respectively, compared to the same respective periods of fiscal 2023. The increase in SG&amp;A expense as a percentage of net sales for the second quarter comparison was primarily due to slightly higher corporate expenses, mostly offset by lower marketing costs. The increase in SG&amp;A expense as a percentage of net sales for the year-to-date comparison was primarily due to lower net sales volume.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Interest expense increased $2.0 million and $4.1 million for the second quarter and year-to-date periods of fiscal 2024, respectively, compared to the same respective periods of fiscal 2023. The increase in interest expense for the second quarter comparison was primarily due to higher average outstanding borrowings under our debt arrangements and higher average interest rates. The increase in interest expense for the year-to-date comparison was primarily due to higher average interest rates.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net increased $1.6 million and $0.3 million for the second quarter and year-to-date periods of fiscal 2024, respectively, compared to the same respective periods of fiscal 2023. These increases were primarily due to higher income from our Red Iron joint venture and net gains on divestitures, partially offset by the unfavorable impact from derivative instruments.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effective tax rate for the second quarter of fiscal 2024 was 19.2 percent compared to 20.6 percent in the second quarter of fiscal 2023, primarily due to a more favorable geographic mix of earnings. The effective tax rate for the year-to-date period of fiscal 2024 was 19.1 percent compared to 19.8 percent in the same period of fiscal 2023, primarily due to a more favorable geographic mix of earnings, partially offset by lower tax benefits recorded as excess tax deductions for stock-based compensation in the current-year period. The adjusted effective tax rate for the second quarter of fiscal 2024 was 19.8 percent, compared to an adjusted effective tax rate of 21.1 percent in the second quarter of fiscal 2023, primarily driven by a more favorable geographic mix of earnings. The adjusted effective tax rate for the year-to-date period of fiscal 2024 was 20.1 percent, compared to 21.2 percent in the same period of fiscal 2023, primarily driven by a more favorable geographic mix of earnings.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earnings for the second quarter of fiscal 2024 were $144.8 million, or $1.38 per diluted share, compared to $167.5 million, or $1.59 per diluted share, for the second quarter of fiscal 2023. Adjusted net earnings for the second quarter of fiscal 2024 were $147.3 million, or $1.40 per diluted share, compared to $166.4 million, or $1.58 per diluted share, for the second quarter of fiscal 2023, a decrease of 11.4 percent per diluted share. Net earnings for the first six months of fiscal 2024 were $209.7 million, or $2.00 per diluted share, compared to $274.3 million, or $2.60 per diluted share, for the same period of fiscal 2023. Adjusted net earnings for the first six months of fiscal 2024 were $213.8 million, or $2.04 per diluted share, compared to $270.0 million, or $2.56 per diluted share, for the same year-to-date period of fiscal 2023, a decrease of 20.3 percent per diluted share. The decrease in net earnings per diluted share for the second quarter comparison was primarily due to lower Professional segment earnings, partially offset by higher Residential segment earnings. The decrease in net earnings per diluted share for the year-to-date comparison was primarily due to lower Professional segment earnings.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40" w:type="dxa"/>
            <w:vAlign w:val="bottom"/>
          </w:tcPr>
          <w:p>
            <w:pPr>
              <w:spacing w:after="0"/>
              <w:rPr>
                <w:sz w:val="13"/>
                <w:szCs w:val="13"/>
                <w:color w:val="auto"/>
              </w:rPr>
            </w:pPr>
          </w:p>
        </w:tc>
        <w:tc>
          <w:tcPr>
            <w:tcW w:w="1220" w:type="dxa"/>
            <w:vAlign w:val="bottom"/>
            <w:vMerge w:val="restart"/>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Pr>
          <w:p>
            <w:pPr>
              <w:spacing w:after="0"/>
              <w:rPr>
                <w:sz w:val="13"/>
                <w:szCs w:val="13"/>
                <w:color w:val="auto"/>
              </w:rPr>
            </w:pPr>
          </w:p>
        </w:tc>
        <w:tc>
          <w:tcPr>
            <w:tcW w:w="124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26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265.8</w:t>
            </w:r>
          </w:p>
        </w:tc>
        <w:tc>
          <w:tcPr>
            <w:tcW w:w="22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69.8</w:t>
            </w: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3.0</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1,339.3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9.7</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8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40" w:type="dxa"/>
            <w:vAlign w:val="bottom"/>
          </w:tcPr>
          <w:p>
            <w:pPr>
              <w:spacing w:after="0"/>
              <w:rPr>
                <w:sz w:val="13"/>
                <w:szCs w:val="13"/>
                <w:color w:val="auto"/>
              </w:rPr>
            </w:pPr>
          </w:p>
        </w:tc>
        <w:tc>
          <w:tcPr>
            <w:tcW w:w="1220" w:type="dxa"/>
            <w:vAlign w:val="bottom"/>
            <w:vMerge w:val="restart"/>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Pr>
          <w:p>
            <w:pPr>
              <w:spacing w:after="0"/>
              <w:rPr>
                <w:sz w:val="13"/>
                <w:szCs w:val="13"/>
                <w:color w:val="auto"/>
              </w:rPr>
            </w:pPr>
          </w:p>
        </w:tc>
        <w:tc>
          <w:tcPr>
            <w:tcW w:w="124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1,949.4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(187.3)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26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530.5</w:t>
            </w:r>
          </w:p>
        </w:tc>
        <w:tc>
          <w:tcPr>
            <w:tcW w:w="22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45.2</w:t>
            </w: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4.8</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2,488.2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(137.3)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8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521.7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(48.5)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80" w:type="dxa"/>
            <w:vAlign w:val="bottom"/>
          </w:tcPr>
          <w:p>
            <w:pPr>
              <w:spacing w:after="0"/>
              <w:rPr>
                <w:sz w:val="13"/>
                <w:szCs w:val="13"/>
                <w:color w:val="auto"/>
              </w:rPr>
            </w:pPr>
          </w:p>
        </w:tc>
        <w:tc>
          <w:tcPr>
            <w:tcW w:w="124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Pr>
          <w:p>
            <w:pPr>
              <w:spacing w:after="0"/>
              <w:rPr>
                <w:sz w:val="13"/>
                <w:szCs w:val="13"/>
                <w:color w:val="auto"/>
              </w:rPr>
            </w:pPr>
          </w:p>
        </w:tc>
        <w:tc>
          <w:tcPr>
            <w:tcW w:w="1240" w:type="dxa"/>
            <w:vAlign w:val="bottom"/>
            <w:vMerge w:val="restart"/>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0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48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190.7</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227.5</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(36.8)</w:t>
            </w:r>
          </w:p>
        </w:tc>
        <w:tc>
          <w:tcPr>
            <w:tcW w:w="1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9"/>
              </w:rPr>
              <w:t>(16.2)%</w:t>
            </w:r>
          </w:p>
        </w:tc>
        <w:tc>
          <w:tcPr>
            <w:tcW w:w="0" w:type="dxa"/>
            <w:vAlign w:val="bottom"/>
          </w:tcPr>
          <w:p>
            <w:pPr>
              <w:spacing w:after="0"/>
              <w:rPr>
                <w:sz w:val="1"/>
                <w:szCs w:val="1"/>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8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36.1</w:t>
            </w:r>
          </w:p>
        </w:tc>
        <w:tc>
          <w:tcPr>
            <w:tcW w:w="24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22.7</w:t>
            </w:r>
          </w:p>
        </w:tc>
        <w:tc>
          <w:tcPr>
            <w:tcW w:w="20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13.4</w:t>
            </w:r>
          </w:p>
        </w:tc>
        <w:tc>
          <w:tcPr>
            <w:tcW w:w="15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2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(8.2)</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179.2</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210.8</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(31.6)</w:t>
            </w: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w w:val="99"/>
              </w:rPr>
              <w:t>(15.0)%</w:t>
            </w:r>
          </w:p>
        </w:tc>
        <w:tc>
          <w:tcPr>
            <w:tcW w:w="0" w:type="dxa"/>
            <w:vAlign w:val="bottom"/>
          </w:tcPr>
          <w:p>
            <w:pPr>
              <w:spacing w:after="0"/>
              <w:rPr>
                <w:sz w:val="1"/>
                <w:szCs w:val="1"/>
                <w:color w:val="auto"/>
              </w:rPr>
            </w:pP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80" w:type="dxa"/>
            <w:vAlign w:val="bottom"/>
          </w:tcPr>
          <w:p>
            <w:pPr>
              <w:spacing w:after="0"/>
              <w:rPr>
                <w:sz w:val="13"/>
                <w:szCs w:val="13"/>
                <w:color w:val="auto"/>
              </w:rPr>
            </w:pPr>
          </w:p>
        </w:tc>
        <w:tc>
          <w:tcPr>
            <w:tcW w:w="124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Pr>
          <w:p>
            <w:pPr>
              <w:spacing w:after="0"/>
              <w:rPr>
                <w:sz w:val="13"/>
                <w:szCs w:val="13"/>
                <w:color w:val="auto"/>
              </w:rPr>
            </w:pPr>
          </w:p>
        </w:tc>
        <w:tc>
          <w:tcPr>
            <w:tcW w:w="1240" w:type="dxa"/>
            <w:vAlign w:val="bottom"/>
            <w:vMerge w:val="restart"/>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0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48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303.5</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371.6</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(68.1)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8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59.6</w:t>
            </w:r>
          </w:p>
        </w:tc>
        <w:tc>
          <w:tcPr>
            <w:tcW w:w="24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60.5</w:t>
            </w:r>
          </w:p>
        </w:tc>
        <w:tc>
          <w:tcPr>
            <w:tcW w:w="20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15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259.3</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342.1</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(82.8)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Worldwide net sales for our Professional segment for the second quarter of fiscal 2024 decreased 5.9 percent compared to the second quarter of fiscal 2023. This decrease was driven primarily by lower shipments of zero-turn mowers, partially offset by higher shipments of underground and specialty construction equipment and golf and grounds products. Worldwide net sales for our Professional segment for the year-to-date period of fiscal 2024 decreased 9.6 percent compared to the same period of fiscal 2023. This decrease was driven primarily by lower shipments of zero-turn mowers and snow and ice management products, partially offset by higher shipments of underground and specialty construction equipment and golf and grounds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Professional segment earnings for the second quarter of fiscal 2024 decreased 16.2 percent compared to the second quarter of fiscal 2023, and Professional segment earnings margin decreased to 19.0 percent from 21.3 percent for the second quarter of fiscal 2023. Professional segment earnings for the year-to-date period of fiscal 2024 decreased 18.3 percent compared to the same period of fiscal 2023, and Professional segment earnings margin decreased to 17.2 percent from 19.1 percent for the year-to-date period of fiscal 2023. The decrease in Professional segment earnings margin for both the second quarter and year-to-date periods of fiscal 2024 was primarily due to lower net sales volume and higher material and manufacturing costs, partially offset by productivity improvements.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Worldwide net sales for our Residential segment for the second quarter of fiscal 2024 increased 26.3 percent compared to the second quarter of fiscal 2023. The increase in Residential segment net sales was primarily driven by higher shipments to our mass channel, partially offset by lower shipments to our dealer channel. Worldwide net sales for our Residential segment for the year-to-date period of fiscal 2024 increased 8.5 percent compared to the same period of fiscal 2023. The increase in Residential segment net sales was primarily driven by higher shipments to our mass channel, partially offset by lower shipments of snow and ice management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Residential segment earnings for the second quarter of fiscal 2024 increased 59.0 percent compared to the second quarter of fiscal 2023, and Residential segment earnings margin increased to 10.8 percent from 8.6 percent in the second quarter of fiscal 2023. The increase in Residential segment earnings margin for the second quarter of fiscal 2024 was largely driven by net sales leverage and productivity improvements, partially offset by product mix and higher material and manufacturing costs. Residential segment earnings for the year-to-date period of fiscal 2024 decreased 1.5 percent compared to the same period of fiscal 2023, and Residential segment earnings margin decreased to 10.4 percent from 11.4 percent in the year-to-date period of fiscal 2023. The decrease in Residential segment earnings margin for the year-to-date period of fiscal 2023 was largely driven by product mix and higher material and manufacturing costs, partially offset by net sales leverage and productivity improvements.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second quarter of fiscal 2024 increased by $3.0 million compared to the same period in fiscal 2023. Net sales for our Other activities in the year-to-date period of fiscal 2024 increased by $4.8 million compared to the same period in fiscal 2023.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operating loss for our Other activities for the second quarter of fiscal 2024 increased $8.2 million compared to the second quarter of fiscal 2023. The operating loss for our Other activities for the year-to-date period of fiscal 2024 increased $13.8 million compared to the same period in fiscal 2023. The increased operating losses for both the second quarter and year-to-date periods of fiscal 2024 were primarily due to higher corporate expenses and higher interest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second quarter of fiscal 2024 increased $161.1 million, or 34.9 percent, compared to the end of the second quarter of fiscal 2023, primarily driven by increased shipments to our mass channel, as well as payment terms to that channel. Inventory levels were down $22.5 million, or 2.0 percent, as of the second quarter of fiscal 2024 compared to the second quarter of fiscal 2023, primarily due to lower Residential segment finished goods balances driven by increased shipments to our mass channel, partially offset by higher balances of snow and ice management products. Accounts payable decreased $2.4 million, or 0.5 percent, as of the end of the second quarter of fiscal 2024 compared to the end of the second quarter of fiscal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for the first six months of fiscal 2024 was $135.1 million compared to $61.7 million for the first six months of fiscal 2023. This increase was mainly due to net favorable fluctuations in working capital, partially offset by lower net earnings during the current fiscal year period compared to the prior fiscal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first six months of fiscal 2024 was $37.5 million compared to $62.7 million for the first six months of fiscal 2023. This decrease was primarily driven by lower purchases of property, plant, and equipment, net of proceeds from insurance claim in the current fiscal year period compared to the prior fiscal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for the first six months of fiscal 2024 was $103.4 million compared to $32.2 million for the first six months of fiscal 2023. This increase was mainly due to changes in activity under the revolving credit facility and decreased proceeds from the exercise of stock options, partially offset by lower stock repurchases, in each case during the current fiscal year period compared to the prior fiscal year period.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May 3, 2024, we had available liquidity of $761.1 million, consisting of cash and cash equivalents of $188.8 million, of which $104.6 million was held by our foreign subsidiaries, and availability under our revolving credit facility of $572.3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2023.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4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1,016.8</w:t>
            </w:r>
          </w:p>
        </w:tc>
        <w:tc>
          <w:tcPr>
            <w:tcW w:w="3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1,041.2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4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1,003.3</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May 3, 2024, we had $25.0 million of outstanding borrowings under our revolving credit facility and $2.7 million outstanding under the sublimit for standby letters of credit, which resulted in $572.3 million of unutilized availability under our revolving credit facility.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$0.36 per share for the second quarter of fiscal 2024 that was paid on April 12, 2024. This was an increase of 5.9 percent over our cash dividend of $0.34 per share for the second quarter of fiscal 2023. We expect to continue paying our quarterly cash dividend to shareholders for the remainder of fiscal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six months of fiscal 2024, we repurchased 112,155 shares of our common stock in the open market under our Board authorized repurchase program, thereby reducing our total shares outstanding. As of May 3, 2024, 6,837,336 shares remained available for repurchase under our Board authorized repurchase program. We expect to continue to repurchase shares of our common stock throughout the remainder of fiscal 2024, depending on our cash balance, debt repayments, market conditions, our anticipated working capital needs, the price of our common stock, and/or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2023. There have been no material changes to our customer financing arrangements during the first six months of fiscal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six month periods ended May 3, 2024 and May 5, 2023 were $1,165.7 million and $1,470.1 million, respectively. The total amount of net receivables outstanding under the arrangement with Red Iron as of May 3, 2024, May 5, 2023 and October 31, 2023 were $1,020.9 million, $1,095.8 million and $1,019.0 million, respectively. The total amount of receivables due from Red Iron to us as of May 3, 2024, May 5, 2023 and October 31, 2023 were $35.1 million, $34.7 million and $34.4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six month periods ended May 3, 2024 and May 5, 2023 were $303.9 million and $247.5 million, respectively. The total amount of net receivables outstanding under the arrangements with HCFC and the other third-party financial institutions as of May 3, 2024, May 5, 2023, and October 31, 2023 were $190.6 million, $194.2 million, and $234.7 million,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May 3, 2024, May 5, 2023, and October 31, 2023, we were contingently liable to repurchase up to a maximum amount of $30.3 million, $111.1 million, and $32.2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six months ended May 3, 2024 and May 5, 2023.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and six month periods ended May 3, 2024 and May 5,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May 5, 2023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453.0</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479.7</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797.5</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875.6</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453.0</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479.7</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797.5</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875.8</w:t>
            </w:r>
          </w:p>
        </w:tc>
      </w:tr>
      <w:tr>
        <w:trPr>
          <w:trHeight w:val="86"/>
        </w:trPr>
        <w:tc>
          <w:tcPr>
            <w:tcW w:w="40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187.6</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218.8</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276.2</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355.2</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200" w:type="dxa"/>
            <w:vAlign w:val="bottom"/>
          </w:tcPr>
          <w:p>
            <w:pPr>
              <w:spacing w:after="0"/>
              <w:rPr>
                <w:sz w:val="19"/>
                <w:szCs w:val="19"/>
                <w:color w:val="auto"/>
              </w:rPr>
            </w:pPr>
          </w:p>
        </w:tc>
        <w:tc>
          <w:tcPr>
            <w:tcW w:w="1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40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192.0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218.8</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284.5</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355.7</w:t>
            </w:r>
          </w:p>
        </w:tc>
      </w:tr>
      <w:tr>
        <w:trPr>
          <w:trHeight w:val="86"/>
        </w:trPr>
        <w:tc>
          <w:tcPr>
            <w:tcW w:w="400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1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23"/>
        </w:trPr>
        <w:tc>
          <w:tcPr>
            <w:tcW w:w="4000" w:type="dxa"/>
            <w:vAlign w:val="bottom"/>
            <w:tcBorders>
              <w:bottom w:val="single" w:sz="8" w:color="auto"/>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1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86"/>
        </w:trPr>
        <w:tc>
          <w:tcPr>
            <w:tcW w:w="400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179.2</w:t>
            </w: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210.8</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259.3</w:t>
            </w: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342.1</w:t>
            </w:r>
          </w:p>
        </w:tc>
      </w:tr>
      <w:tr>
        <w:trPr>
          <w:trHeight w:val="223"/>
        </w:trPr>
        <w:tc>
          <w:tcPr>
            <w:tcW w:w="40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183.6</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210.8</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267.6</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342.6</w:t>
            </w:r>
          </w:p>
        </w:tc>
      </w:tr>
      <w:tr>
        <w:trPr>
          <w:trHeight w:val="86"/>
        </w:trPr>
        <w:tc>
          <w:tcPr>
            <w:tcW w:w="40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34.4</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43.3</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49.6</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67.8</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1200" w:type="dxa"/>
            <w:vAlign w:val="bottom"/>
          </w:tcPr>
          <w:p>
            <w:pPr>
              <w:spacing w:after="0"/>
              <w:rPr>
                <w:sz w:val="19"/>
                <w:szCs w:val="19"/>
                <w:color w:val="auto"/>
              </w:rPr>
            </w:pPr>
          </w:p>
        </w:tc>
        <w:tc>
          <w:tcPr>
            <w:tcW w:w="1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0.1</w:t>
            </w:r>
          </w:p>
        </w:tc>
      </w:tr>
      <w:tr>
        <w:trPr>
          <w:trHeight w:val="220"/>
        </w:trPr>
        <w:tc>
          <w:tcPr>
            <w:tcW w:w="40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3</w:t>
            </w: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4.7</w:t>
            </w:r>
          </w:p>
        </w:tc>
      </w:tr>
      <w:tr>
        <w:trPr>
          <w:trHeight w:val="235"/>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53.8</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72.6</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0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144.8</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167.5</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209.7</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274.3</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 net of tax</w:t>
            </w:r>
            <w:r>
              <w:rPr>
                <w:rFonts w:ascii="Times New Roman" w:cs="Times New Roman" w:eastAsia="Times New Roman" w:hAnsi="Times New Roman"/>
                <w:sz w:val="21"/>
                <w:szCs w:val="21"/>
                <w:color w:val="auto"/>
                <w:vertAlign w:val="superscript"/>
              </w:rPr>
              <w:t>1</w:t>
            </w:r>
          </w:p>
        </w:tc>
        <w:tc>
          <w:tcPr>
            <w:tcW w:w="1200" w:type="dxa"/>
            <w:vAlign w:val="bottom"/>
          </w:tcPr>
          <w:p>
            <w:pPr>
              <w:spacing w:after="0"/>
              <w:rPr>
                <w:sz w:val="19"/>
                <w:szCs w:val="19"/>
                <w:color w:val="auto"/>
              </w:rPr>
            </w:pPr>
          </w:p>
        </w:tc>
        <w:tc>
          <w:tcPr>
            <w:tcW w:w="1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0.4</w:t>
            </w:r>
          </w:p>
        </w:tc>
      </w:tr>
      <w:tr>
        <w:trPr>
          <w:trHeight w:val="220"/>
        </w:trPr>
        <w:tc>
          <w:tcPr>
            <w:tcW w:w="40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(4.7)</w:t>
            </w:r>
          </w:p>
        </w:tc>
      </w:tr>
      <w:tr>
        <w:trPr>
          <w:trHeight w:val="235"/>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147.3</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166.4</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213.8</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270.0</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0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2.00</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2.60</w:t>
            </w:r>
          </w:p>
        </w:tc>
      </w:tr>
      <w:tr>
        <w:trPr>
          <w:trHeight w:val="220"/>
        </w:trPr>
        <w:tc>
          <w:tcPr>
            <w:tcW w:w="40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1200" w:type="dxa"/>
            <w:vAlign w:val="bottom"/>
          </w:tcPr>
          <w:p>
            <w:pPr>
              <w:spacing w:after="0"/>
              <w:rPr>
                <w:sz w:val="19"/>
                <w:szCs w:val="19"/>
                <w:color w:val="auto"/>
              </w:rPr>
            </w:pPr>
          </w:p>
        </w:tc>
        <w:tc>
          <w:tcPr>
            <w:tcW w:w="1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0.03</w:t>
            </w:r>
          </w:p>
        </w:tc>
        <w:tc>
          <w:tcPr>
            <w:tcW w:w="26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Pr>
          <w:p>
            <w:pPr>
              <w:spacing w:after="0"/>
              <w:rPr>
                <w:sz w:val="19"/>
                <w:szCs w:val="19"/>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1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(0.01)</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(0.02)</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(0.04)</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2.04</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2.56</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2"/>
        </w:trPr>
        <w:tc>
          <w:tcPr>
            <w:tcW w:w="400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23"/>
        </w:trPr>
        <w:tc>
          <w:tcPr>
            <w:tcW w:w="4000" w:type="dxa"/>
            <w:vAlign w:val="bottom"/>
            <w:tcBorders>
              <w:bottom w:val="single" w:sz="8" w:color="auto"/>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1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1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20" w:hanging="139"/>
        <w:spacing w:after="0"/>
        <w:tabs>
          <w:tab w:leader="none" w:pos="2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January 13, 2022, we completed our acquisition of Intimidator Group. Acquisition-related costs for the six month period ended May 5, 2023 represent integration costs.</w:t>
      </w:r>
    </w:p>
    <w:p>
      <w:pPr>
        <w:spacing w:after="0" w:line="81" w:lineRule="exact"/>
        <w:rPr>
          <w:sz w:val="20"/>
          <w:szCs w:val="20"/>
          <w:color w:val="auto"/>
        </w:rPr>
      </w:pPr>
    </w:p>
    <w:p>
      <w:pPr>
        <w:jc w:val="both"/>
        <w:ind w:left="240" w:hanging="159"/>
        <w:spacing w:after="0" w:line="234" w:lineRule="auto"/>
        <w:tabs>
          <w:tab w:leader="none" w:pos="227"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Overview-Productivity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six month periods ended May 3, 2024 primarily represent third-party consulting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40" w:hanging="159"/>
        <w:spacing w:after="0" w:line="234" w:lineRule="auto"/>
        <w:tabs>
          <w:tab w:leader="none" w:pos="292"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3, 2024 and May 5,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3, 2024 and May 5, 2023:</w:t>
      </w:r>
    </w:p>
    <w:p>
      <w:pPr>
        <w:spacing w:after="0" w:line="10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5, 2023</w:t>
            </w:r>
          </w:p>
        </w:tc>
      </w:tr>
      <w:tr>
        <w:trPr>
          <w:trHeight w:val="21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135.1</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61.7</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 net of proceeds from insurance claim</w:t>
            </w:r>
          </w:p>
        </w:tc>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39.5</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63.0</w:t>
            </w:r>
          </w:p>
        </w:tc>
      </w:tr>
      <w:tr>
        <w:trPr>
          <w:trHeight w:val="216"/>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10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95.6</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209.7</w:t>
            </w:r>
          </w:p>
        </w:tc>
        <w:tc>
          <w:tcPr>
            <w:tcW w:w="3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274.3</w:t>
            </w:r>
          </w:p>
        </w:tc>
      </w:tr>
      <w:tr>
        <w:trPr>
          <w:trHeight w:val="238"/>
        </w:trPr>
        <w:tc>
          <w:tcPr>
            <w:tcW w:w="6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10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45.6 %</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Annual Report on Form 10-K for the fiscal year ended October 31, 2023.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2023 for a discussion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2023. Refer to Part II, Item 7A, "Quantitative and Qualitative Disclosures about Market Risk", within our Annual Report on Form 10-K for the fiscal year ended October 31, 2023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15, </w:t>
      </w:r>
      <w:r>
        <w:rPr>
          <w:rFonts w:ascii="Times New Roman" w:cs="Times New Roman" w:eastAsia="Times New Roman" w:hAnsi="Times New Roman"/>
          <w:sz w:val="17"/>
          <w:szCs w:val="17"/>
          <w:i w:val="1"/>
          <w:iCs w:val="1"/>
          <w:color w:val="auto"/>
        </w:rPr>
        <w:t>Derivative Instruments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2024 through fiscal 2026. All items are non-trading and stated in U.S. dollars. As of May 3, 2024,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6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0.6698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108.9</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1.3418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1.1143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184.5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1.2515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19.3157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69.7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7"/>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Buy Japanese yen/Sell U.S. dollar</w:t>
            </w:r>
          </w:p>
        </w:tc>
        <w:tc>
          <w:tcPr>
            <w:tcW w:w="2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154.1643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May 3, 2024 includes $524.2 million of gross fixed-rate long-term debt that is not subject to variable interest rate fluctuations, $470.0 million of gross variable rate debt under our term loan credit agreements, and $25.0 million outstanding on our variable rate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May 3, 2024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shares of the company's common stock purchased by the company during each of the three fiscal months in the company's second quarter ended May 3,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(or Units)</w:t>
            </w: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2480" w:type="dxa"/>
            <w:vAlign w:val="bottom"/>
            <w:vMerge w:val="restart"/>
          </w:tcPr>
          <w:p>
            <w:pPr>
              <w:jc w:val="center"/>
              <w:ind w:left="938"/>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Purchased As</w:t>
            </w: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7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480" w:type="dxa"/>
            <w:vAlign w:val="bottom"/>
          </w:tcPr>
          <w:p>
            <w:pPr>
              <w:jc w:val="center"/>
              <w:ind w:left="938"/>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240" w:type="dxa"/>
            <w:vAlign w:val="bottom"/>
          </w:tcPr>
          <w:p>
            <w:pPr>
              <w:spacing w:after="0"/>
              <w:rPr>
                <w:sz w:val="14"/>
                <w:szCs w:val="14"/>
                <w:color w:val="auto"/>
              </w:rPr>
            </w:pPr>
          </w:p>
        </w:tc>
        <w:tc>
          <w:tcPr>
            <w:tcW w:w="104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7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auto"/>
            </w:tcBorders>
            <w:vMerge w:val="continue"/>
          </w:tcPr>
          <w:p>
            <w:pPr>
              <w:spacing w:after="0"/>
              <w:rPr>
                <w:sz w:val="19"/>
                <w:szCs w:val="19"/>
                <w:color w:val="auto"/>
              </w:rPr>
            </w:pPr>
          </w:p>
        </w:tc>
        <w:tc>
          <w:tcPr>
            <w:tcW w:w="2480" w:type="dxa"/>
            <w:vAlign w:val="bottom"/>
            <w:tcBorders>
              <w:bottom w:val="single" w:sz="8" w:color="auto"/>
            </w:tcBorders>
          </w:tcPr>
          <w:p>
            <w:pPr>
              <w:jc w:val="center"/>
              <w:ind w:left="938"/>
              <w:spacing w:after="0" w:line="220" w:lineRule="exact"/>
              <w:rPr>
                <w:sz w:val="20"/>
                <w:szCs w:val="20"/>
                <w:color w:val="auto"/>
              </w:rPr>
            </w:pPr>
            <w:r>
              <w:rPr>
                <w:rFonts w:ascii="Times New Roman" w:cs="Times New Roman" w:eastAsia="Times New Roman" w:hAnsi="Times New Roman"/>
                <w:sz w:val="16"/>
                <w:szCs w:val="16"/>
                <w:b w:val="1"/>
                <w:bCs w:val="1"/>
                <w:color w:val="auto"/>
                <w:w w:val="93"/>
              </w:rPr>
              <w:t>Purchased</w:t>
            </w:r>
            <w:r>
              <w:rPr>
                <w:rFonts w:ascii="Times New Roman" w:cs="Times New Roman" w:eastAsia="Times New Roman" w:hAnsi="Times New Roman"/>
                <w:sz w:val="21"/>
                <w:szCs w:val="21"/>
                <w:b w:val="1"/>
                <w:bCs w:val="1"/>
                <w:color w:val="auto"/>
                <w:w w:val="93"/>
                <w:vertAlign w:val="superscript"/>
              </w:rPr>
              <w:t>1,2,3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(or Unit)</w:t>
            </w:r>
          </w:p>
        </w:tc>
        <w:tc>
          <w:tcPr>
            <w:tcW w:w="18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7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3, 2024 through March 1, 2024</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6,949,491</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 2024 through March 29, 2024</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112,155</w:t>
            </w:r>
          </w:p>
        </w:tc>
        <w:tc>
          <w:tcPr>
            <w:tcW w:w="24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89.16</w:t>
            </w:r>
          </w:p>
        </w:tc>
        <w:tc>
          <w:tcPr>
            <w:tcW w:w="18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112,155</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6,837,336</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30, 2023 through May 3, 2024</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86.30</w:t>
            </w:r>
          </w:p>
        </w:tc>
        <w:tc>
          <w:tcPr>
            <w:tcW w:w="18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6,837,336</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89.12</w:t>
            </w:r>
          </w:p>
        </w:tc>
        <w:tc>
          <w:tcPr>
            <w:tcW w:w="1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112,155</w:t>
            </w: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55" w:lineRule="auto"/>
        <w:tabs>
          <w:tab w:leader="none" w:pos="148"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repurchased 112,155 shares under this program during the period indicated above and as a result, 1,837,336 shares remained available to repurchase under this authorized stock repurchase program as of May 3, 2024.</w:t>
      </w:r>
    </w:p>
    <w:p>
      <w:pPr>
        <w:spacing w:after="0" w:line="71" w:lineRule="exact"/>
        <w:rPr>
          <w:sz w:val="20"/>
          <w:szCs w:val="20"/>
          <w:color w:val="auto"/>
        </w:rPr>
      </w:pPr>
    </w:p>
    <w:p>
      <w:pPr>
        <w:jc w:val="both"/>
        <w:ind w:left="160" w:hanging="157"/>
        <w:spacing w:after="0" w:line="229" w:lineRule="auto"/>
        <w:tabs>
          <w:tab w:leader="none" w:pos="225"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program during the time period indicated above.</w:t>
      </w:r>
    </w:p>
    <w:p>
      <w:pPr>
        <w:spacing w:after="0" w:line="95" w:lineRule="exact"/>
        <w:rPr>
          <w:sz w:val="20"/>
          <w:szCs w:val="20"/>
          <w:color w:val="auto"/>
        </w:rPr>
      </w:pPr>
    </w:p>
    <w:p>
      <w:pPr>
        <w:jc w:val="both"/>
        <w:ind w:left="160" w:hanging="157"/>
        <w:spacing w:after="0" w:line="229" w:lineRule="auto"/>
        <w:tabs>
          <w:tab w:leader="none" w:pos="199"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1,403 shares of the company’s common stock purchased in open-market transactions at an average price of $86.30 per share on behalf of a rabbi trust formed to pay benefit obligations of the company to participants in the company's deferred compensation plans. These 1,403 shares were not repurchased under the company’s authorized stock repurchase programs described in notes 1 and 2 above.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second quarter ended May 3, 2024,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00" w:type="dxa"/>
            <w:vAlign w:val="bottom"/>
            <w:gridSpan w:val="18"/>
          </w:tcPr>
          <w:p>
            <w:pPr>
              <w:spacing w:after="0" w:line="161"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5">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30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May 3, 2024, filed</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with the SEC on June 6, 2024, formatted in Inline eXtensible Business Reporting Language (Inline XBRL): (i) Condensed Consolidated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Statements of Earnings for the three and six month periods ended May 3, 2024 and May 5, 2023, (ii) Condensed Consolidated Statements of</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4" w:lineRule="exact"/>
              <w:rPr>
                <w:sz w:val="20"/>
                <w:szCs w:val="20"/>
                <w:color w:val="auto"/>
              </w:rPr>
            </w:pPr>
            <w:r>
              <w:rPr>
                <w:rFonts w:ascii="Times New Roman" w:cs="Times New Roman" w:eastAsia="Times New Roman" w:hAnsi="Times New Roman"/>
                <w:sz w:val="16"/>
                <w:szCs w:val="16"/>
                <w:color w:val="auto"/>
              </w:rPr>
              <w:t>Comprehensive Income for the three and six month periods ended May 3, 2024 and May 5, 2023, (iii) Condensed Consolidated Balance Sheets</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as of May 3, 2024, May 5, 2023, and October 31, 2023, (iv) Condensed Consolidated Statement of Cash Flows for the six month periods ended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May 3, 2024 and May 5, 2023, (v) Condensed Consolidated Statements of Stockholders' Equity for the three and six month periods ended May 3,</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2024 and May 5, 2023,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TORO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 June 6, 2024</w:t>
            </w:r>
          </w:p>
        </w:tc>
        <w:tc>
          <w:tcPr>
            <w:tcW w:w="262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Angela C. Drake</w:t>
            </w:r>
          </w:p>
        </w:tc>
      </w:tr>
      <w:tr>
        <w:trPr>
          <w:trHeight w:val="209"/>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2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6,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6,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May 3, 2024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6, 2024</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6, 2024</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2"/>
      <w:numFmt w:val="bullet"/>
      <w:start w:val="1"/>
    </w:lvl>
  </w:abstractNum>
  <w:abstractNum w:abstractNumId="7">
    <w:nsid w:val="41A7C4C9"/>
    <w:multiLevelType w:val="hybridMultilevel"/>
    <w:lvl w:ilvl="0">
      <w:lvlJc w:val="left"/>
      <w:lvlText w:val="3"/>
      <w:numFmt w:val="bullet"/>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6"/>
      <w:numFmt w:val="bullet"/>
      <w:start w:val="1"/>
    </w:lvl>
  </w:abstractNum>
  <w:abstractNum w:abstractNumId="10">
    <w:nsid w:val="25E45D32"/>
    <w:multiLevelType w:val="hybridMultilevel"/>
    <w:lvl w:ilvl="0">
      <w:lvlJc w:val="left"/>
      <w:lvlText w:val="7"/>
      <w:numFmt w:val="bullet"/>
      <w:start w:val="1"/>
    </w:lvl>
  </w:abstractNum>
  <w:abstractNum w:abstractNumId="11">
    <w:nsid w:val="519B500D"/>
    <w:multiLevelType w:val="hybridMultilevel"/>
    <w:lvl w:ilvl="0">
      <w:lvlJc w:val="left"/>
      <w:lvlText w:val="8"/>
      <w:numFmt w:val="bullet"/>
      <w:start w:val="1"/>
    </w:lvl>
  </w:abstractNum>
  <w:abstractNum w:abstractNumId="12">
    <w:nsid w:val="431BD7B7"/>
    <w:multiLevelType w:val="hybridMultilevel"/>
    <w:lvl w:ilvl="0">
      <w:lvlJc w:val="left"/>
      <w:lvlText w:val="9"/>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2"/>
      <w:numFmt w:val="bullet"/>
      <w:start w:val="1"/>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2"/>
      <w:numFmt w:val="bullet"/>
      <w:start w:val="1"/>
    </w:lvl>
  </w:abstractNum>
  <w:abstractNum w:abstractNumId="19">
    <w:nsid w:val="333AB105"/>
    <w:multiLevelType w:val="hybridMultilevel"/>
    <w:lvl w:ilvl="0">
      <w:lvlJc w:val="left"/>
      <w:lvlText w:val="3"/>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55" Type="http://schemas.openxmlformats.org/officeDocument/2006/relationships/hyperlink" Target="https://www.sec.gov/Archives/edgar/data/737758/000073775808000033/form8-k06172008exhibitcert.htm" TargetMode="External"/><Relationship Id="rId56" Type="http://schemas.openxmlformats.org/officeDocument/2006/relationships/hyperlink" Target="https://www.sec.gov/Archives/edgar/data/737758/000119312513105223/d501846dex31.htm" TargetMode="External"/><Relationship Id="rId57" Type="http://schemas.openxmlformats.org/officeDocument/2006/relationships/hyperlink" Target="https://www.sec.gov/Archives/edgar/data/737758/000114036123027141/brhc20053547_3-1.htm" TargetMode="External"/><Relationship Id="rId58" Type="http://schemas.openxmlformats.org/officeDocument/2006/relationships/hyperlink" Target="https://www.sec.gov/Archives/edgar/data/737758/000110465907030051/a07-10570_1ex4d3.htm" TargetMode="External"/><Relationship Id="rId59" Type="http://schemas.openxmlformats.org/officeDocument/2006/relationships/hyperlink" Target="https://www.sec.gov/Archives/edgar/data/737758/000110465907031757/a07-10570_5ex4d1.htm" TargetMode="External"/><Relationship Id="rId60" Type="http://schemas.openxmlformats.org/officeDocument/2006/relationships/hyperlink" Target="https://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2024-06-06T11:46:12Z</dcterms:created>
  <dcterms:modified xsi:type="dcterms:W3CDTF">2024-06-06T11:46:12Z</dcterms:modified>
</cp:coreProperties>
</file>